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4C40E" w14:textId="77777777" w:rsidR="009F5DF7" w:rsidRPr="009F5DF7" w:rsidRDefault="009F5DF7" w:rsidP="009F5DF7">
      <w:pPr>
        <w:jc w:val="both"/>
        <w:rPr>
          <w:rFonts w:asciiTheme="minorHAnsi" w:hAnsiTheme="minorHAnsi" w:cstheme="minorHAnsi"/>
          <w:b/>
          <w:sz w:val="22"/>
        </w:rPr>
      </w:pPr>
    </w:p>
    <w:p w14:paraId="0A39DCD3" w14:textId="2DC19596" w:rsidR="008A2FFD" w:rsidRDefault="00E05ED2" w:rsidP="008A2FFD">
      <w:pPr>
        <w:widowControl w:val="0"/>
        <w:autoSpaceDE w:val="0"/>
        <w:autoSpaceDN w:val="0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E05ED2">
        <w:rPr>
          <w:rFonts w:asciiTheme="minorHAnsi" w:hAnsiTheme="minorHAnsi" w:cstheme="minorHAnsi"/>
          <w:b/>
          <w:sz w:val="28"/>
          <w:szCs w:val="28"/>
        </w:rPr>
        <w:t>1140. Información que se considere necesaria o conveniente para la adecuada gestión de la contratación:</w:t>
      </w:r>
    </w:p>
    <w:p w14:paraId="3494BB86" w14:textId="77777777" w:rsidR="00E05ED2" w:rsidRPr="008A2FFD" w:rsidRDefault="00E05ED2" w:rsidP="008A2FFD">
      <w:pPr>
        <w:widowControl w:val="0"/>
        <w:autoSpaceDE w:val="0"/>
        <w:autoSpaceDN w:val="0"/>
        <w:jc w:val="both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BCC4548" w14:textId="28811BE5" w:rsidR="003B6FF7" w:rsidRPr="008A2FFD" w:rsidRDefault="003B6FF7" w:rsidP="009F5DF7">
      <w:pPr>
        <w:widowControl w:val="0"/>
        <w:autoSpaceDE w:val="0"/>
        <w:autoSpaceDN w:val="0"/>
        <w:jc w:val="both"/>
        <w:textAlignment w:val="baseline"/>
        <w:rPr>
          <w:rFonts w:asciiTheme="minorHAnsi" w:hAnsiTheme="minorHAnsi" w:cstheme="minorHAnsi"/>
          <w:color w:val="231F20"/>
          <w:sz w:val="28"/>
          <w:szCs w:val="28"/>
          <w:lang w:eastAsia="en-US"/>
        </w:rPr>
      </w:pPr>
      <w:r w:rsidRPr="008A2FFD">
        <w:rPr>
          <w:rFonts w:asciiTheme="minorHAnsi" w:hAnsiTheme="minorHAnsi" w:cstheme="minorHAnsi"/>
          <w:color w:val="231F20"/>
          <w:sz w:val="28"/>
          <w:szCs w:val="28"/>
          <w:lang w:eastAsia="en-US"/>
        </w:rPr>
        <w:t>Artículo 22 de los Estatutos de la Gerencia Municipal de Urbanismo publicados en el BOP nº 33 de 10 de marzo de 2014</w:t>
      </w:r>
      <w:r w:rsidR="00BA620E">
        <w:rPr>
          <w:rFonts w:asciiTheme="minorHAnsi" w:hAnsiTheme="minorHAnsi" w:cstheme="minorHAnsi"/>
          <w:color w:val="231F20"/>
          <w:sz w:val="28"/>
          <w:szCs w:val="28"/>
          <w:lang w:eastAsia="en-US"/>
        </w:rPr>
        <w:t>:</w:t>
      </w:r>
    </w:p>
    <w:p w14:paraId="768AB571" w14:textId="77777777" w:rsidR="003B6FF7" w:rsidRPr="008A2FFD" w:rsidRDefault="003B6FF7" w:rsidP="009F5DF7">
      <w:pPr>
        <w:widowControl w:val="0"/>
        <w:autoSpaceDE w:val="0"/>
        <w:autoSpaceDN w:val="0"/>
        <w:ind w:right="111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en-US"/>
        </w:rPr>
      </w:pPr>
    </w:p>
    <w:p w14:paraId="425FAB88" w14:textId="221F6292" w:rsidR="003B6FF7" w:rsidRPr="008A2FFD" w:rsidRDefault="00BA620E" w:rsidP="009F5DF7">
      <w:pPr>
        <w:widowControl w:val="0"/>
        <w:autoSpaceDE w:val="0"/>
        <w:autoSpaceDN w:val="0"/>
        <w:ind w:right="111"/>
        <w:jc w:val="both"/>
        <w:textAlignment w:val="baseline"/>
        <w:rPr>
          <w:rFonts w:asciiTheme="minorHAnsi" w:hAnsiTheme="minorHAnsi" w:cstheme="minorHAnsi"/>
          <w:sz w:val="28"/>
          <w:szCs w:val="28"/>
          <w:lang w:eastAsia="en-US"/>
        </w:rPr>
      </w:pPr>
      <w:r>
        <w:rPr>
          <w:rFonts w:asciiTheme="minorHAnsi" w:hAnsiTheme="minorHAnsi" w:cstheme="minorHAnsi"/>
          <w:i/>
          <w:color w:val="231F20"/>
          <w:sz w:val="28"/>
          <w:szCs w:val="28"/>
          <w:lang w:eastAsia="en-US"/>
        </w:rPr>
        <w:t>“</w:t>
      </w:r>
      <w:r w:rsidR="003B6FF7" w:rsidRPr="008A2FFD">
        <w:rPr>
          <w:rFonts w:asciiTheme="minorHAnsi" w:hAnsiTheme="minorHAnsi" w:cstheme="minorHAnsi"/>
          <w:i/>
          <w:color w:val="231F20"/>
          <w:sz w:val="28"/>
          <w:szCs w:val="28"/>
          <w:lang w:eastAsia="en-US"/>
        </w:rPr>
        <w:t>Los contratos que celebre la Gerencia se regirán por las normas generales de contratación de las</w:t>
      </w:r>
      <w:r w:rsidR="003B6FF7" w:rsidRPr="008A2FFD">
        <w:rPr>
          <w:rFonts w:asciiTheme="minorHAnsi" w:hAnsiTheme="minorHAnsi" w:cstheme="minorHAnsi"/>
          <w:i/>
          <w:color w:val="231F20"/>
          <w:spacing w:val="-18"/>
          <w:sz w:val="28"/>
          <w:szCs w:val="28"/>
          <w:lang w:eastAsia="en-US"/>
        </w:rPr>
        <w:t xml:space="preserve"> </w:t>
      </w:r>
      <w:r w:rsidR="003B6FF7" w:rsidRPr="008A2FFD">
        <w:rPr>
          <w:rFonts w:asciiTheme="minorHAnsi" w:hAnsiTheme="minorHAnsi" w:cstheme="minorHAnsi"/>
          <w:i/>
          <w:color w:val="231F20"/>
          <w:sz w:val="28"/>
          <w:szCs w:val="28"/>
          <w:lang w:eastAsia="en-US"/>
        </w:rPr>
        <w:t>Administraciones</w:t>
      </w:r>
      <w:r w:rsidR="003B6FF7" w:rsidRPr="008A2FFD">
        <w:rPr>
          <w:rFonts w:asciiTheme="minorHAnsi" w:hAnsiTheme="minorHAnsi" w:cstheme="minorHAnsi"/>
          <w:i/>
          <w:color w:val="231F20"/>
          <w:spacing w:val="-1"/>
          <w:sz w:val="28"/>
          <w:szCs w:val="28"/>
          <w:lang w:eastAsia="en-US"/>
        </w:rPr>
        <w:t xml:space="preserve"> </w:t>
      </w:r>
      <w:r w:rsidR="003B6FF7" w:rsidRPr="008A2FFD">
        <w:rPr>
          <w:rFonts w:asciiTheme="minorHAnsi" w:hAnsiTheme="minorHAnsi" w:cstheme="minorHAnsi"/>
          <w:i/>
          <w:color w:val="231F20"/>
          <w:sz w:val="28"/>
          <w:szCs w:val="28"/>
          <w:lang w:eastAsia="en-US"/>
        </w:rPr>
        <w:t>Públicas, por lo tanto por la Ley 9/2017, de Contratos del Sector Público</w:t>
      </w:r>
      <w:r w:rsidR="003B6FF7" w:rsidRPr="008A2FFD">
        <w:rPr>
          <w:rFonts w:asciiTheme="minorHAnsi" w:hAnsiTheme="minorHAnsi" w:cstheme="minorHAnsi"/>
          <w:color w:val="231F20"/>
          <w:sz w:val="28"/>
          <w:szCs w:val="28"/>
          <w:lang w:eastAsia="en-US"/>
        </w:rPr>
        <w:t>.</w:t>
      </w:r>
      <w:r>
        <w:rPr>
          <w:rFonts w:asciiTheme="minorHAnsi" w:hAnsiTheme="minorHAnsi" w:cstheme="minorHAnsi"/>
          <w:color w:val="231F20"/>
          <w:sz w:val="28"/>
          <w:szCs w:val="28"/>
          <w:lang w:eastAsia="en-US"/>
        </w:rPr>
        <w:t>”</w:t>
      </w:r>
    </w:p>
    <w:p w14:paraId="6B44676E" w14:textId="77777777" w:rsidR="003B6FF7" w:rsidRPr="008A2FFD" w:rsidRDefault="003B6FF7" w:rsidP="009F5DF7">
      <w:pPr>
        <w:pStyle w:val="Textoindependiente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3A40DDCC" w14:textId="77777777" w:rsidR="003B6FF7" w:rsidRPr="008A2FFD" w:rsidRDefault="003B6FF7" w:rsidP="009F5DF7">
      <w:pPr>
        <w:pStyle w:val="Textoindependiente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2FFD">
        <w:rPr>
          <w:rFonts w:asciiTheme="minorHAnsi" w:hAnsiTheme="minorHAnsi" w:cstheme="minorHAnsi"/>
          <w:b/>
          <w:sz w:val="28"/>
          <w:szCs w:val="28"/>
          <w:u w:val="single"/>
        </w:rPr>
        <w:t>Órganos de contratación:</w:t>
      </w:r>
    </w:p>
    <w:p w14:paraId="6589B83E" w14:textId="77777777" w:rsidR="003B6FF7" w:rsidRPr="008A2FFD" w:rsidRDefault="003B6FF7" w:rsidP="009F5DF7">
      <w:pPr>
        <w:pStyle w:val="Textoindependiente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F6E1A42" w14:textId="77777777" w:rsidR="003B6FF7" w:rsidRPr="008A2FFD" w:rsidRDefault="003B6FF7" w:rsidP="009F5DF7">
      <w:pPr>
        <w:pStyle w:val="Textoindependiente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2FFD">
        <w:rPr>
          <w:rFonts w:asciiTheme="minorHAnsi" w:hAnsiTheme="minorHAnsi" w:cstheme="minorHAnsi"/>
          <w:b/>
          <w:sz w:val="28"/>
          <w:szCs w:val="28"/>
          <w:u w:val="single"/>
        </w:rPr>
        <w:t>CONSEJO RECTOR DE LA GERENCIA MUNICIPAL DE URBANISMO:</w:t>
      </w:r>
    </w:p>
    <w:p w14:paraId="6DF239DA" w14:textId="77777777" w:rsidR="003B6FF7" w:rsidRPr="008A2FFD" w:rsidRDefault="003B6FF7" w:rsidP="009F5DF7">
      <w:pPr>
        <w:pStyle w:val="Textoindependiente"/>
        <w:jc w:val="both"/>
        <w:rPr>
          <w:rFonts w:asciiTheme="minorHAnsi" w:hAnsiTheme="minorHAnsi" w:cstheme="minorHAnsi"/>
          <w:sz w:val="28"/>
          <w:szCs w:val="28"/>
        </w:rPr>
      </w:pPr>
    </w:p>
    <w:p w14:paraId="00A26559" w14:textId="77777777" w:rsidR="003B6FF7" w:rsidRPr="008A2FFD" w:rsidRDefault="003B6FF7" w:rsidP="009F5DF7">
      <w:pPr>
        <w:tabs>
          <w:tab w:val="left" w:pos="585"/>
        </w:tabs>
        <w:ind w:right="43"/>
        <w:jc w:val="both"/>
        <w:rPr>
          <w:rFonts w:asciiTheme="minorHAnsi" w:hAnsiTheme="minorHAnsi" w:cstheme="minorHAnsi"/>
          <w:sz w:val="28"/>
          <w:szCs w:val="28"/>
        </w:rPr>
      </w:pPr>
      <w:r w:rsidRPr="008A2FFD">
        <w:rPr>
          <w:rFonts w:asciiTheme="minorHAnsi" w:hAnsiTheme="minorHAnsi" w:cstheme="minorHAnsi"/>
          <w:color w:val="231F20"/>
          <w:spacing w:val="-3"/>
          <w:sz w:val="28"/>
          <w:szCs w:val="28"/>
        </w:rPr>
        <w:t>Le corresponde la</w:t>
      </w:r>
      <w:r w:rsidRPr="008A2FFD">
        <w:rPr>
          <w:rFonts w:asciiTheme="minorHAnsi" w:hAnsiTheme="minorHAnsi" w:cstheme="minorHAnsi"/>
          <w:color w:val="231F20"/>
          <w:spacing w:val="-22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pacing w:val="-4"/>
          <w:sz w:val="28"/>
          <w:szCs w:val="28"/>
        </w:rPr>
        <w:t>aprobación</w:t>
      </w:r>
      <w:r w:rsidRPr="008A2FFD">
        <w:rPr>
          <w:rFonts w:asciiTheme="minorHAnsi" w:hAnsiTheme="minorHAnsi" w:cstheme="minorHAnsi"/>
          <w:color w:val="231F20"/>
          <w:spacing w:val="-22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de</w:t>
      </w:r>
      <w:r w:rsidRPr="008A2FFD">
        <w:rPr>
          <w:rFonts w:asciiTheme="minorHAnsi" w:hAnsiTheme="minorHAnsi" w:cstheme="minorHAnsi"/>
          <w:color w:val="231F20"/>
          <w:spacing w:val="-22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pacing w:val="-3"/>
          <w:sz w:val="28"/>
          <w:szCs w:val="28"/>
        </w:rPr>
        <w:t>los</w:t>
      </w:r>
      <w:r w:rsidRPr="008A2FFD">
        <w:rPr>
          <w:rFonts w:asciiTheme="minorHAnsi" w:hAnsiTheme="minorHAnsi" w:cstheme="minorHAnsi"/>
          <w:color w:val="231F20"/>
          <w:spacing w:val="-22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pacing w:val="-4"/>
          <w:sz w:val="28"/>
          <w:szCs w:val="28"/>
        </w:rPr>
        <w:t>expedientes</w:t>
      </w:r>
      <w:r w:rsidRPr="008A2FFD">
        <w:rPr>
          <w:rFonts w:asciiTheme="minorHAnsi" w:hAnsiTheme="minorHAnsi" w:cstheme="minorHAnsi"/>
          <w:color w:val="231F20"/>
          <w:spacing w:val="-22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de</w:t>
      </w:r>
      <w:r w:rsidRPr="008A2FFD">
        <w:rPr>
          <w:rFonts w:asciiTheme="minorHAnsi" w:hAnsiTheme="minorHAnsi" w:cstheme="minorHAnsi"/>
          <w:color w:val="231F20"/>
          <w:spacing w:val="-22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pacing w:val="-5"/>
          <w:sz w:val="28"/>
          <w:szCs w:val="28"/>
        </w:rPr>
        <w:t xml:space="preserve">contratación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 xml:space="preserve">y los pliegos de cláusulas particulares y pliegos </w:t>
      </w:r>
      <w:r w:rsidRPr="008A2FFD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de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prescripciones técnicas particulares cuando la contratación exceda del 10% de los recursos ordinarios del</w:t>
      </w:r>
      <w:r w:rsidRPr="008A2FFD">
        <w:rPr>
          <w:rFonts w:asciiTheme="minorHAnsi" w:hAnsiTheme="minorHAnsi" w:cstheme="minorHAnsi"/>
          <w:color w:val="231F20"/>
          <w:spacing w:val="-26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Presupuesto</w:t>
      </w:r>
      <w:r w:rsidRPr="008A2FFD">
        <w:rPr>
          <w:rFonts w:asciiTheme="minorHAnsi" w:hAnsiTheme="minorHAnsi" w:cstheme="minorHAnsi"/>
          <w:color w:val="231F20"/>
          <w:spacing w:val="-26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de</w:t>
      </w:r>
      <w:r w:rsidRPr="008A2FFD">
        <w:rPr>
          <w:rFonts w:asciiTheme="minorHAnsi" w:hAnsiTheme="minorHAnsi" w:cstheme="minorHAnsi"/>
          <w:color w:val="231F20"/>
          <w:spacing w:val="-25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la</w:t>
      </w:r>
      <w:r w:rsidRPr="008A2FFD">
        <w:rPr>
          <w:rFonts w:asciiTheme="minorHAnsi" w:hAnsiTheme="minorHAnsi" w:cstheme="minorHAnsi"/>
          <w:color w:val="231F20"/>
          <w:spacing w:val="-27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Gerencia</w:t>
      </w:r>
      <w:r w:rsidRPr="008A2FFD">
        <w:rPr>
          <w:rFonts w:asciiTheme="minorHAnsi" w:hAnsiTheme="minorHAnsi" w:cstheme="minorHAnsi"/>
          <w:color w:val="231F20"/>
          <w:spacing w:val="-26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así</w:t>
      </w:r>
      <w:r w:rsidRPr="008A2FFD">
        <w:rPr>
          <w:rFonts w:asciiTheme="minorHAnsi" w:hAnsiTheme="minorHAnsi" w:cstheme="minorHAnsi"/>
          <w:color w:val="231F20"/>
          <w:spacing w:val="-26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como</w:t>
      </w:r>
      <w:r w:rsidRPr="008A2FFD">
        <w:rPr>
          <w:rFonts w:asciiTheme="minorHAnsi" w:hAnsiTheme="minorHAnsi" w:cstheme="minorHAnsi"/>
          <w:color w:val="231F20"/>
          <w:spacing w:val="-26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los</w:t>
      </w:r>
      <w:r w:rsidRPr="008A2FFD">
        <w:rPr>
          <w:rFonts w:asciiTheme="minorHAnsi" w:hAnsiTheme="minorHAnsi" w:cstheme="minorHAnsi"/>
          <w:color w:val="231F20"/>
          <w:spacing w:val="-25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contratos y concesiones plurianuales cuando su duración sea superior a cuatro</w:t>
      </w:r>
      <w:r w:rsidRPr="008A2FFD">
        <w:rPr>
          <w:rFonts w:asciiTheme="minorHAnsi" w:hAnsiTheme="minorHAnsi" w:cstheme="minorHAnsi"/>
          <w:color w:val="231F20"/>
          <w:spacing w:val="-2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años.</w:t>
      </w:r>
    </w:p>
    <w:p w14:paraId="7116B243" w14:textId="77777777" w:rsidR="003B6FF7" w:rsidRPr="008A2FFD" w:rsidRDefault="003B6FF7" w:rsidP="009F5DF7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EC1B79E" w14:textId="77777777" w:rsidR="003B6FF7" w:rsidRPr="008A2FFD" w:rsidRDefault="003B6FF7" w:rsidP="009F5DF7">
      <w:pPr>
        <w:pStyle w:val="Textoindependiente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2FFD">
        <w:rPr>
          <w:rFonts w:asciiTheme="minorHAnsi" w:hAnsiTheme="minorHAnsi" w:cstheme="minorHAnsi"/>
          <w:b/>
          <w:sz w:val="28"/>
          <w:szCs w:val="28"/>
          <w:u w:val="single"/>
        </w:rPr>
        <w:t>PRESIDENTE DE LA GERENCIA MUNICIPAL DE URBANISMO:</w:t>
      </w:r>
    </w:p>
    <w:p w14:paraId="38ADF068" w14:textId="77777777" w:rsidR="003B6FF7" w:rsidRPr="008A2FFD" w:rsidRDefault="003B6FF7" w:rsidP="009F5DF7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03EC8E9E" w14:textId="77777777" w:rsidR="003B6FF7" w:rsidRPr="008A2FFD" w:rsidRDefault="003B6FF7" w:rsidP="009F5DF7">
      <w:pPr>
        <w:tabs>
          <w:tab w:val="left" w:pos="479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8A2FFD">
        <w:rPr>
          <w:rFonts w:asciiTheme="minorHAnsi" w:hAnsiTheme="minorHAnsi" w:cstheme="minorHAnsi"/>
          <w:sz w:val="28"/>
          <w:szCs w:val="28"/>
        </w:rPr>
        <w:t>Le corresponde l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a</w:t>
      </w:r>
      <w:r w:rsidRPr="008A2FFD">
        <w:rPr>
          <w:rFonts w:asciiTheme="minorHAnsi" w:hAnsiTheme="minorHAnsi" w:cstheme="minorHAnsi"/>
          <w:color w:val="231F20"/>
          <w:spacing w:val="-26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aprobación</w:t>
      </w:r>
      <w:r w:rsidRPr="008A2FFD">
        <w:rPr>
          <w:rFonts w:asciiTheme="minorHAnsi" w:hAnsiTheme="minorHAnsi" w:cstheme="minorHAnsi"/>
          <w:color w:val="231F20"/>
          <w:spacing w:val="-25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de</w:t>
      </w:r>
      <w:r w:rsidRPr="008A2FFD">
        <w:rPr>
          <w:rFonts w:asciiTheme="minorHAnsi" w:hAnsiTheme="minorHAnsi" w:cstheme="minorHAnsi"/>
          <w:color w:val="231F20"/>
          <w:spacing w:val="-25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los</w:t>
      </w:r>
      <w:r w:rsidRPr="008A2FFD">
        <w:rPr>
          <w:rFonts w:asciiTheme="minorHAnsi" w:hAnsiTheme="minorHAnsi" w:cstheme="minorHAnsi"/>
          <w:color w:val="231F20"/>
          <w:spacing w:val="-25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expedientes</w:t>
      </w:r>
      <w:r w:rsidRPr="008A2FFD">
        <w:rPr>
          <w:rFonts w:asciiTheme="minorHAnsi" w:hAnsiTheme="minorHAnsi" w:cstheme="minorHAnsi"/>
          <w:color w:val="231F20"/>
          <w:spacing w:val="-26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de</w:t>
      </w:r>
      <w:r w:rsidRPr="008A2FFD">
        <w:rPr>
          <w:rFonts w:asciiTheme="minorHAnsi" w:hAnsiTheme="minorHAnsi" w:cstheme="minorHAnsi"/>
          <w:color w:val="231F20"/>
          <w:spacing w:val="-25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pacing w:val="-2"/>
          <w:sz w:val="28"/>
          <w:szCs w:val="28"/>
        </w:rPr>
        <w:t xml:space="preserve">contratación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y los pliegos de cláusulas generales, particulares y pliegos de prescripciones técnicas cuando la</w:t>
      </w:r>
      <w:r w:rsidRPr="008A2FFD">
        <w:rPr>
          <w:rFonts w:asciiTheme="minorHAnsi" w:hAnsiTheme="minorHAnsi" w:cstheme="minorHAnsi"/>
          <w:color w:val="231F20"/>
          <w:spacing w:val="-29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pacing w:val="-3"/>
          <w:sz w:val="28"/>
          <w:szCs w:val="28"/>
        </w:rPr>
        <w:t>contra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tación</w:t>
      </w:r>
      <w:r w:rsidRPr="008A2FFD">
        <w:rPr>
          <w:rFonts w:asciiTheme="minorHAnsi" w:hAnsiTheme="minorHAnsi" w:cstheme="minorHAnsi"/>
          <w:color w:val="231F20"/>
          <w:spacing w:val="-12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no</w:t>
      </w:r>
      <w:r w:rsidRPr="008A2FFD">
        <w:rPr>
          <w:rFonts w:asciiTheme="minorHAnsi" w:hAnsiTheme="minorHAnsi" w:cstheme="minorHAnsi"/>
          <w:color w:val="231F20"/>
          <w:spacing w:val="-12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exceda</w:t>
      </w:r>
      <w:r w:rsidRPr="008A2FFD">
        <w:rPr>
          <w:rFonts w:asciiTheme="minorHAnsi" w:hAnsiTheme="minorHAnsi" w:cstheme="minorHAnsi"/>
          <w:color w:val="231F20"/>
          <w:spacing w:val="-12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del</w:t>
      </w:r>
      <w:r w:rsidRPr="008A2FFD">
        <w:rPr>
          <w:rFonts w:asciiTheme="minorHAnsi" w:hAnsiTheme="minorHAnsi" w:cstheme="minorHAnsi"/>
          <w:color w:val="231F20"/>
          <w:spacing w:val="-12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cinco</w:t>
      </w:r>
      <w:r w:rsidRPr="008A2FFD">
        <w:rPr>
          <w:rFonts w:asciiTheme="minorHAnsi" w:hAnsiTheme="minorHAnsi" w:cstheme="minorHAnsi"/>
          <w:color w:val="231F20"/>
          <w:spacing w:val="-12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por</w:t>
      </w:r>
      <w:r w:rsidRPr="008A2FFD">
        <w:rPr>
          <w:rFonts w:asciiTheme="minorHAnsi" w:hAnsiTheme="minorHAnsi" w:cstheme="minorHAnsi"/>
          <w:color w:val="231F20"/>
          <w:spacing w:val="-12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ciento</w:t>
      </w:r>
      <w:r w:rsidRPr="008A2FFD">
        <w:rPr>
          <w:rFonts w:asciiTheme="minorHAnsi" w:hAnsiTheme="minorHAnsi" w:cstheme="minorHAnsi"/>
          <w:color w:val="231F20"/>
          <w:spacing w:val="-12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de</w:t>
      </w:r>
      <w:r w:rsidRPr="008A2FFD">
        <w:rPr>
          <w:rFonts w:asciiTheme="minorHAnsi" w:hAnsiTheme="minorHAnsi" w:cstheme="minorHAnsi"/>
          <w:color w:val="231F20"/>
          <w:spacing w:val="-12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los</w:t>
      </w:r>
      <w:r w:rsidRPr="008A2FFD">
        <w:rPr>
          <w:rFonts w:asciiTheme="minorHAnsi" w:hAnsiTheme="minorHAnsi" w:cstheme="minorHAnsi"/>
          <w:color w:val="231F20"/>
          <w:spacing w:val="-12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recursos ordinarios del Presupuesto de la</w:t>
      </w:r>
      <w:r w:rsidRPr="008A2FFD">
        <w:rPr>
          <w:rFonts w:asciiTheme="minorHAnsi" w:hAnsiTheme="minorHAnsi" w:cstheme="minorHAnsi"/>
          <w:color w:val="231F20"/>
          <w:spacing w:val="-6"/>
          <w:sz w:val="28"/>
          <w:szCs w:val="28"/>
        </w:rPr>
        <w:t xml:space="preserve"> </w:t>
      </w:r>
      <w:r w:rsidRPr="008A2FFD">
        <w:rPr>
          <w:rFonts w:asciiTheme="minorHAnsi" w:hAnsiTheme="minorHAnsi" w:cstheme="minorHAnsi"/>
          <w:color w:val="231F20"/>
          <w:sz w:val="28"/>
          <w:szCs w:val="28"/>
        </w:rPr>
        <w:t>Gerencia.</w:t>
      </w:r>
    </w:p>
    <w:p w14:paraId="2527E5CB" w14:textId="77777777" w:rsidR="003B6FF7" w:rsidRPr="008A2FFD" w:rsidRDefault="003B6FF7" w:rsidP="009F5DF7">
      <w:pPr>
        <w:pStyle w:val="Textoindependiente"/>
        <w:rPr>
          <w:rFonts w:asciiTheme="minorHAnsi" w:hAnsiTheme="minorHAnsi" w:cstheme="minorHAnsi"/>
          <w:sz w:val="28"/>
          <w:szCs w:val="28"/>
        </w:rPr>
      </w:pPr>
    </w:p>
    <w:p w14:paraId="0E604FF4" w14:textId="1FE804FB" w:rsidR="00A3356D" w:rsidRPr="008A2FFD" w:rsidRDefault="00A3356D" w:rsidP="009F5DF7">
      <w:pPr>
        <w:jc w:val="both"/>
        <w:rPr>
          <w:rStyle w:val="Hipervnculo"/>
          <w:rFonts w:asciiTheme="minorHAnsi" w:hAnsiTheme="minorHAnsi" w:cstheme="minorHAnsi"/>
          <w:i/>
          <w:iCs/>
          <w:sz w:val="28"/>
          <w:szCs w:val="28"/>
        </w:rPr>
      </w:pPr>
    </w:p>
    <w:p w14:paraId="6E11A744" w14:textId="28079EBD" w:rsidR="00A3356D" w:rsidRPr="008A2FFD" w:rsidRDefault="00A3356D" w:rsidP="00A3356D">
      <w:pPr>
        <w:pStyle w:val="Textoindependiente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2FFD">
        <w:rPr>
          <w:rFonts w:asciiTheme="minorHAnsi" w:hAnsiTheme="minorHAnsi" w:cstheme="minorHAnsi"/>
          <w:b/>
          <w:sz w:val="28"/>
          <w:szCs w:val="28"/>
          <w:u w:val="single"/>
        </w:rPr>
        <w:t>CONSEJERA DIRECTORA DE LA GERENCIA MUNICIPAL DE URBANISMO:</w:t>
      </w:r>
    </w:p>
    <w:p w14:paraId="476191E6" w14:textId="05270B36" w:rsidR="00A3356D" w:rsidRPr="008A2FFD" w:rsidRDefault="00A3356D" w:rsidP="00A3356D">
      <w:pPr>
        <w:pStyle w:val="Textoindependiente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5E5C440" w14:textId="24139DF2" w:rsidR="00A3356D" w:rsidRPr="008A2FFD" w:rsidRDefault="00A3356D" w:rsidP="00A3356D">
      <w:pPr>
        <w:pStyle w:val="Textoindependiente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A2FFD">
        <w:rPr>
          <w:rFonts w:asciiTheme="minorHAnsi" w:hAnsiTheme="minorHAnsi" w:cstheme="minorHAnsi"/>
          <w:bCs/>
          <w:sz w:val="28"/>
          <w:szCs w:val="28"/>
        </w:rPr>
        <w:t>Le corresponde la contratación menor</w:t>
      </w:r>
    </w:p>
    <w:p w14:paraId="2313D3A6" w14:textId="0057B086" w:rsidR="00A3356D" w:rsidRPr="008A2FFD" w:rsidRDefault="00A3356D" w:rsidP="00A3356D">
      <w:pPr>
        <w:pStyle w:val="Prrafodelista"/>
        <w:ind w:left="720" w:firstLine="0"/>
        <w:rPr>
          <w:rStyle w:val="Hipervnculo"/>
          <w:rFonts w:asciiTheme="minorHAnsi" w:hAnsiTheme="minorHAnsi" w:cstheme="minorHAnsi"/>
          <w:i/>
          <w:iCs/>
          <w:sz w:val="28"/>
          <w:szCs w:val="28"/>
        </w:rPr>
      </w:pPr>
    </w:p>
    <w:p w14:paraId="5DE273AD" w14:textId="6F51012C" w:rsidR="003B6FF7" w:rsidRPr="00BE2162" w:rsidRDefault="00BE2162" w:rsidP="009F5DF7">
      <w:pPr>
        <w:jc w:val="both"/>
        <w:rPr>
          <w:rFonts w:asciiTheme="minorHAnsi" w:hAnsiTheme="minorHAnsi" w:cstheme="minorHAnsi"/>
          <w:i/>
          <w:iCs/>
          <w:color w:val="0000FF"/>
          <w:sz w:val="28"/>
          <w:szCs w:val="28"/>
          <w:u w:val="single"/>
        </w:rPr>
      </w:pPr>
      <w:r w:rsidRPr="008A2FFD">
        <w:rPr>
          <w:rStyle w:val="nfasis"/>
          <w:rFonts w:asciiTheme="minorHAnsi" w:hAnsiTheme="minorHAnsi" w:cstheme="minorHAnsi"/>
          <w:sz w:val="28"/>
          <w:szCs w:val="28"/>
        </w:rPr>
        <w:t>Para más información, acceda a</w:t>
      </w:r>
      <w:r w:rsidR="00BD2B2F">
        <w:rPr>
          <w:rStyle w:val="nfasis"/>
          <w:rFonts w:asciiTheme="minorHAnsi" w:hAnsiTheme="minorHAnsi" w:cstheme="minorHAnsi"/>
          <w:sz w:val="28"/>
          <w:szCs w:val="28"/>
        </w:rPr>
        <w:t xml:space="preserve"> su</w:t>
      </w:r>
      <w:r w:rsidRPr="008A2FFD">
        <w:rPr>
          <w:rStyle w:val="nfasis"/>
          <w:rFonts w:asciiTheme="minorHAnsi" w:hAnsiTheme="minorHAnsi" w:cstheme="minorHAnsi"/>
          <w:sz w:val="28"/>
          <w:szCs w:val="28"/>
        </w:rPr>
        <w:t xml:space="preserve"> </w:t>
      </w:r>
      <w:hyperlink r:id="rId7" w:tgtFrame="_blank" w:history="1">
        <w:r w:rsidRPr="008A2FFD">
          <w:rPr>
            <w:rStyle w:val="Hipervnculo"/>
            <w:rFonts w:asciiTheme="minorHAnsi" w:hAnsiTheme="minorHAnsi" w:cstheme="minorHAnsi"/>
            <w:i/>
            <w:iCs/>
            <w:sz w:val="28"/>
            <w:szCs w:val="28"/>
          </w:rPr>
          <w:t>perfil del contratante</w:t>
        </w:r>
      </w:hyperlink>
    </w:p>
    <w:sectPr w:rsidR="003B6FF7" w:rsidRPr="00BE2162" w:rsidSect="001C25B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2A63" w14:textId="77777777" w:rsidR="001C25BD" w:rsidRDefault="001C25BD" w:rsidP="000E3989">
      <w:r>
        <w:separator/>
      </w:r>
    </w:p>
  </w:endnote>
  <w:endnote w:type="continuationSeparator" w:id="0">
    <w:p w14:paraId="0CC262DF" w14:textId="77777777" w:rsidR="001C25BD" w:rsidRDefault="001C25BD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2067" w14:textId="77777777" w:rsidR="001C25BD" w:rsidRDefault="001C25BD" w:rsidP="000E3989">
      <w:r>
        <w:separator/>
      </w:r>
    </w:p>
  </w:footnote>
  <w:footnote w:type="continuationSeparator" w:id="0">
    <w:p w14:paraId="61ADB2A6" w14:textId="77777777" w:rsidR="001C25BD" w:rsidRDefault="001C25BD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3B34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7D3F6D8" wp14:editId="25D658B0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990725" cy="826135"/>
          <wp:effectExtent l="0" t="0" r="9525" b="0"/>
          <wp:wrapSquare wrapText="bothSides"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F66A4A"/>
    <w:multiLevelType w:val="hybridMultilevel"/>
    <w:tmpl w:val="ED98A9E0"/>
    <w:lvl w:ilvl="0" w:tplc="79123594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44FC"/>
    <w:multiLevelType w:val="multilevel"/>
    <w:tmpl w:val="5F8050CA"/>
    <w:lvl w:ilvl="0">
      <w:start w:val="1"/>
      <w:numFmt w:val="lowerLetter"/>
      <w:lvlText w:val="%1)"/>
      <w:lvlJc w:val="left"/>
      <w:pPr>
        <w:ind w:left="483" w:hanging="200"/>
      </w:pPr>
      <w:rPr>
        <w:rFonts w:ascii="Times New Roman" w:eastAsia="Times New Roman" w:hAnsi="Times New Roman" w:cs="Times New Roman"/>
        <w:color w:val="231F20"/>
        <w:spacing w:val="-5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908" w:hanging="200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1336" w:hanging="200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1764" w:hanging="200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2193" w:hanging="200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621" w:hanging="200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3049" w:hanging="200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478" w:hanging="200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906" w:hanging="200"/>
      </w:pPr>
      <w:rPr>
        <w:lang w:val="es-ES" w:eastAsia="en-US" w:bidi="ar-SA"/>
      </w:rPr>
    </w:lvl>
  </w:abstractNum>
  <w:abstractNum w:abstractNumId="3" w15:restartNumberingAfterBreak="0">
    <w:nsid w:val="30335AF5"/>
    <w:multiLevelType w:val="multilevel"/>
    <w:tmpl w:val="82FC671A"/>
    <w:lvl w:ilvl="0">
      <w:start w:val="1"/>
      <w:numFmt w:val="decimal"/>
      <w:lvlText w:val="%1."/>
      <w:lvlJc w:val="left"/>
      <w:pPr>
        <w:ind w:left="113" w:hanging="214"/>
      </w:pPr>
      <w:rPr>
        <w:rFonts w:ascii="Times New Roman" w:eastAsia="Times New Roman" w:hAnsi="Times New Roman" w:cs="Times New Roman"/>
        <w:color w:val="231F20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584" w:hanging="214"/>
      </w:pPr>
      <w:rPr>
        <w:lang w:val="es-ES" w:eastAsia="en-US" w:bidi="ar-SA"/>
      </w:rPr>
    </w:lvl>
    <w:lvl w:ilvl="2">
      <w:numFmt w:val="bullet"/>
      <w:lvlText w:val="•"/>
      <w:lvlJc w:val="left"/>
      <w:pPr>
        <w:ind w:left="1048" w:hanging="214"/>
      </w:pPr>
      <w:rPr>
        <w:lang w:val="es-ES" w:eastAsia="en-US" w:bidi="ar-SA"/>
      </w:rPr>
    </w:lvl>
    <w:lvl w:ilvl="3">
      <w:numFmt w:val="bullet"/>
      <w:lvlText w:val="•"/>
      <w:lvlJc w:val="left"/>
      <w:pPr>
        <w:ind w:left="1512" w:hanging="214"/>
      </w:pPr>
      <w:rPr>
        <w:lang w:val="es-ES" w:eastAsia="en-US" w:bidi="ar-SA"/>
      </w:rPr>
    </w:lvl>
    <w:lvl w:ilvl="4">
      <w:numFmt w:val="bullet"/>
      <w:lvlText w:val="•"/>
      <w:lvlJc w:val="left"/>
      <w:pPr>
        <w:ind w:left="1977" w:hanging="214"/>
      </w:pPr>
      <w:rPr>
        <w:lang w:val="es-ES" w:eastAsia="en-US" w:bidi="ar-SA"/>
      </w:rPr>
    </w:lvl>
    <w:lvl w:ilvl="5">
      <w:numFmt w:val="bullet"/>
      <w:lvlText w:val="•"/>
      <w:lvlJc w:val="left"/>
      <w:pPr>
        <w:ind w:left="2441" w:hanging="214"/>
      </w:pPr>
      <w:rPr>
        <w:lang w:val="es-ES" w:eastAsia="en-US" w:bidi="ar-SA"/>
      </w:rPr>
    </w:lvl>
    <w:lvl w:ilvl="6">
      <w:numFmt w:val="bullet"/>
      <w:lvlText w:val="•"/>
      <w:lvlJc w:val="left"/>
      <w:pPr>
        <w:ind w:left="2905" w:hanging="214"/>
      </w:pPr>
      <w:rPr>
        <w:lang w:val="es-ES" w:eastAsia="en-US" w:bidi="ar-SA"/>
      </w:rPr>
    </w:lvl>
    <w:lvl w:ilvl="7">
      <w:numFmt w:val="bullet"/>
      <w:lvlText w:val="•"/>
      <w:lvlJc w:val="left"/>
      <w:pPr>
        <w:ind w:left="3370" w:hanging="214"/>
      </w:pPr>
      <w:rPr>
        <w:lang w:val="es-ES" w:eastAsia="en-US" w:bidi="ar-SA"/>
      </w:rPr>
    </w:lvl>
    <w:lvl w:ilvl="8">
      <w:numFmt w:val="bullet"/>
      <w:lvlText w:val="•"/>
      <w:lvlJc w:val="left"/>
      <w:pPr>
        <w:ind w:left="3834" w:hanging="214"/>
      </w:pPr>
      <w:rPr>
        <w:lang w:val="es-ES" w:eastAsia="en-US" w:bidi="ar-SA"/>
      </w:rPr>
    </w:lvl>
  </w:abstractNum>
  <w:abstractNum w:abstractNumId="4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17729911">
    <w:abstractNumId w:val="0"/>
  </w:num>
  <w:num w:numId="2" w16cid:durableId="1055154903">
    <w:abstractNumId w:val="4"/>
  </w:num>
  <w:num w:numId="3" w16cid:durableId="1030256978">
    <w:abstractNumId w:val="3"/>
  </w:num>
  <w:num w:numId="4" w16cid:durableId="1427070985">
    <w:abstractNumId w:val="1"/>
  </w:num>
  <w:num w:numId="5" w16cid:durableId="688026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124544"/>
    <w:rsid w:val="001C25BD"/>
    <w:rsid w:val="00226146"/>
    <w:rsid w:val="002550DA"/>
    <w:rsid w:val="00347502"/>
    <w:rsid w:val="00347B1E"/>
    <w:rsid w:val="003B6FF7"/>
    <w:rsid w:val="003D6E2E"/>
    <w:rsid w:val="00422363"/>
    <w:rsid w:val="00506284"/>
    <w:rsid w:val="00547184"/>
    <w:rsid w:val="006A27BF"/>
    <w:rsid w:val="006F0429"/>
    <w:rsid w:val="00857539"/>
    <w:rsid w:val="008A2FFD"/>
    <w:rsid w:val="008C5AB8"/>
    <w:rsid w:val="008E3BB1"/>
    <w:rsid w:val="008F54BD"/>
    <w:rsid w:val="009A1D50"/>
    <w:rsid w:val="009F5DF7"/>
    <w:rsid w:val="00A3356D"/>
    <w:rsid w:val="00A702E0"/>
    <w:rsid w:val="00AC5755"/>
    <w:rsid w:val="00B24E9C"/>
    <w:rsid w:val="00BA620E"/>
    <w:rsid w:val="00BD2B2F"/>
    <w:rsid w:val="00BE2162"/>
    <w:rsid w:val="00D4359C"/>
    <w:rsid w:val="00D465AB"/>
    <w:rsid w:val="00D504A7"/>
    <w:rsid w:val="00E05ED2"/>
    <w:rsid w:val="00E66817"/>
    <w:rsid w:val="00EC297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670A5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fasis">
    <w:name w:val="Emphasis"/>
    <w:basedOn w:val="Fuentedeprrafopredeter"/>
    <w:uiPriority w:val="20"/>
    <w:qFormat/>
    <w:rsid w:val="00347B1E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347B1E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B6FF7"/>
    <w:pPr>
      <w:widowControl w:val="0"/>
      <w:autoSpaceDE w:val="0"/>
      <w:autoSpaceDN w:val="0"/>
      <w:textAlignment w:val="baseline"/>
    </w:pPr>
    <w:rPr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B6FF7"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rsid w:val="003B6FF7"/>
    <w:pPr>
      <w:widowControl w:val="0"/>
      <w:autoSpaceDE w:val="0"/>
      <w:autoSpaceDN w:val="0"/>
      <w:ind w:left="113" w:right="110" w:firstLine="170"/>
      <w:jc w:val="both"/>
      <w:textAlignment w:val="baseline"/>
    </w:pPr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D2B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trataciondelestado.es/wps/poc?uri=deeplink%3AperfilContratante&amp;idBp=DWpeUDZQ7gESugstABGr5A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4</cp:revision>
  <cp:lastPrinted>2022-10-23T22:24:00Z</cp:lastPrinted>
  <dcterms:created xsi:type="dcterms:W3CDTF">2023-09-20T13:37:00Z</dcterms:created>
  <dcterms:modified xsi:type="dcterms:W3CDTF">2024-02-18T16:44:00Z</dcterms:modified>
</cp:coreProperties>
</file>