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C4BB" w14:textId="77777777" w:rsidR="004F4EA8" w:rsidRDefault="004F4EA8">
      <w:pPr>
        <w:jc w:val="both"/>
        <w:rPr>
          <w:rFonts w:ascii="Calibri" w:hAnsi="Calibri" w:cs="Calibri"/>
          <w:b/>
          <w:sz w:val="22"/>
        </w:rPr>
      </w:pPr>
    </w:p>
    <w:p w14:paraId="34B823A9" w14:textId="77777777" w:rsidR="004F4EA8" w:rsidRDefault="00000000">
      <w:pPr>
        <w:widowControl w:val="0"/>
        <w:autoSpaceDE w:val="0"/>
        <w:jc w:val="both"/>
        <w:textAlignment w:val="baseline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1136. Información general de las entidades y órganos de contratación (como dirección de contacto, números de teléfono y fax, dirección postal y cuenta de correo electrónico):</w:t>
      </w:r>
    </w:p>
    <w:p w14:paraId="173CC930" w14:textId="77777777" w:rsidR="004F4EA8" w:rsidRDefault="004F4EA8">
      <w:pPr>
        <w:widowControl w:val="0"/>
        <w:autoSpaceDE w:val="0"/>
        <w:jc w:val="both"/>
        <w:textAlignment w:val="baseline"/>
        <w:rPr>
          <w:rFonts w:ascii="Calibri" w:hAnsi="Calibri" w:cs="Calibri"/>
          <w:b/>
          <w:sz w:val="28"/>
          <w:szCs w:val="28"/>
          <w:u w:val="single"/>
        </w:rPr>
      </w:pPr>
    </w:p>
    <w:p w14:paraId="11FEF229" w14:textId="77777777" w:rsidR="004F4EA8" w:rsidRDefault="00000000">
      <w:pPr>
        <w:widowControl w:val="0"/>
        <w:autoSpaceDE w:val="0"/>
        <w:jc w:val="both"/>
        <w:textAlignment w:val="baseline"/>
        <w:rPr>
          <w:rFonts w:ascii="Calibri" w:hAnsi="Calibri" w:cs="Calibri"/>
          <w:color w:val="231F20"/>
          <w:sz w:val="28"/>
          <w:szCs w:val="28"/>
          <w:lang w:eastAsia="en-US"/>
        </w:rPr>
      </w:pPr>
      <w:r>
        <w:rPr>
          <w:rFonts w:ascii="Calibri" w:hAnsi="Calibri" w:cs="Calibri"/>
          <w:color w:val="231F20"/>
          <w:sz w:val="28"/>
          <w:szCs w:val="28"/>
          <w:lang w:eastAsia="en-US"/>
        </w:rPr>
        <w:t xml:space="preserve">Artículo 22 de los Estatutos de la Gerencia Municipal de Urbanismo publicados en el BOP </w:t>
      </w:r>
      <w:proofErr w:type="spellStart"/>
      <w:r>
        <w:rPr>
          <w:rFonts w:ascii="Calibri" w:hAnsi="Calibri" w:cs="Calibri"/>
          <w:color w:val="231F20"/>
          <w:sz w:val="28"/>
          <w:szCs w:val="28"/>
          <w:lang w:eastAsia="en-US"/>
        </w:rPr>
        <w:t>nº</w:t>
      </w:r>
      <w:proofErr w:type="spellEnd"/>
      <w:r>
        <w:rPr>
          <w:rFonts w:ascii="Calibri" w:hAnsi="Calibri" w:cs="Calibri"/>
          <w:color w:val="231F20"/>
          <w:sz w:val="28"/>
          <w:szCs w:val="28"/>
          <w:lang w:eastAsia="en-US"/>
        </w:rPr>
        <w:t xml:space="preserve"> 33 de 10 de marzo de 2014:</w:t>
      </w:r>
    </w:p>
    <w:p w14:paraId="7C9CB973" w14:textId="77777777" w:rsidR="004F4EA8" w:rsidRDefault="004F4EA8">
      <w:pPr>
        <w:widowControl w:val="0"/>
        <w:autoSpaceDE w:val="0"/>
        <w:ind w:right="111"/>
        <w:jc w:val="both"/>
        <w:textAlignment w:val="baseline"/>
        <w:rPr>
          <w:rFonts w:ascii="Calibri" w:hAnsi="Calibri" w:cs="Calibri"/>
          <w:sz w:val="28"/>
          <w:szCs w:val="28"/>
          <w:lang w:eastAsia="en-US"/>
        </w:rPr>
      </w:pPr>
    </w:p>
    <w:p w14:paraId="23837793" w14:textId="77777777" w:rsidR="004F4EA8" w:rsidRDefault="00000000">
      <w:pPr>
        <w:widowControl w:val="0"/>
        <w:autoSpaceDE w:val="0"/>
        <w:ind w:right="111"/>
        <w:jc w:val="both"/>
        <w:textAlignment w:val="baseline"/>
      </w:pPr>
      <w:r>
        <w:rPr>
          <w:rFonts w:ascii="Calibri" w:hAnsi="Calibri" w:cs="Calibri"/>
          <w:i/>
          <w:color w:val="231F20"/>
          <w:sz w:val="28"/>
          <w:szCs w:val="28"/>
          <w:lang w:eastAsia="en-US"/>
        </w:rPr>
        <w:t>“Los contratos que celebre la Gerencia se regirán por las normas generales de contratación de las</w:t>
      </w:r>
      <w:r>
        <w:rPr>
          <w:rFonts w:ascii="Calibri" w:hAnsi="Calibri" w:cs="Calibri"/>
          <w:i/>
          <w:color w:val="231F20"/>
          <w:spacing w:val="-18"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i/>
          <w:color w:val="231F20"/>
          <w:sz w:val="28"/>
          <w:szCs w:val="28"/>
          <w:lang w:eastAsia="en-US"/>
        </w:rPr>
        <w:t>Administraciones</w:t>
      </w:r>
      <w:r>
        <w:rPr>
          <w:rFonts w:ascii="Calibri" w:hAnsi="Calibri" w:cs="Calibri"/>
          <w:i/>
          <w:color w:val="231F20"/>
          <w:spacing w:val="-1"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i/>
          <w:color w:val="231F20"/>
          <w:sz w:val="28"/>
          <w:szCs w:val="28"/>
          <w:lang w:eastAsia="en-US"/>
        </w:rPr>
        <w:t xml:space="preserve">Públicas, por lo </w:t>
      </w:r>
      <w:proofErr w:type="gramStart"/>
      <w:r>
        <w:rPr>
          <w:rFonts w:ascii="Calibri" w:hAnsi="Calibri" w:cs="Calibri"/>
          <w:i/>
          <w:color w:val="231F20"/>
          <w:sz w:val="28"/>
          <w:szCs w:val="28"/>
          <w:lang w:eastAsia="en-US"/>
        </w:rPr>
        <w:t>tanto</w:t>
      </w:r>
      <w:proofErr w:type="gramEnd"/>
      <w:r>
        <w:rPr>
          <w:rFonts w:ascii="Calibri" w:hAnsi="Calibri" w:cs="Calibri"/>
          <w:i/>
          <w:color w:val="231F20"/>
          <w:sz w:val="28"/>
          <w:szCs w:val="28"/>
          <w:lang w:eastAsia="en-US"/>
        </w:rPr>
        <w:t xml:space="preserve"> por la Ley 9/2017, de Contratos del Sector Público</w:t>
      </w:r>
      <w:r>
        <w:rPr>
          <w:rFonts w:ascii="Calibri" w:hAnsi="Calibri" w:cs="Calibri"/>
          <w:color w:val="231F20"/>
          <w:sz w:val="28"/>
          <w:szCs w:val="28"/>
          <w:lang w:eastAsia="en-US"/>
        </w:rPr>
        <w:t>.”</w:t>
      </w:r>
    </w:p>
    <w:p w14:paraId="058F138E" w14:textId="77777777" w:rsidR="004F4EA8" w:rsidRDefault="004F4EA8">
      <w:pPr>
        <w:widowControl w:val="0"/>
        <w:autoSpaceDE w:val="0"/>
        <w:ind w:right="111"/>
        <w:jc w:val="both"/>
        <w:textAlignment w:val="baseline"/>
        <w:rPr>
          <w:rFonts w:ascii="Calibri" w:hAnsi="Calibri" w:cs="Calibri"/>
          <w:color w:val="231F20"/>
          <w:sz w:val="28"/>
          <w:szCs w:val="28"/>
          <w:lang w:eastAsia="en-US"/>
        </w:rPr>
      </w:pPr>
    </w:p>
    <w:p w14:paraId="5CEDD732" w14:textId="77777777" w:rsidR="004F4EA8" w:rsidRDefault="00000000">
      <w:pPr>
        <w:pStyle w:val="Textoindependiente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Órganos de contratación:</w:t>
      </w:r>
    </w:p>
    <w:p w14:paraId="2B65843D" w14:textId="77777777" w:rsidR="004F4EA8" w:rsidRDefault="004F4EA8">
      <w:pPr>
        <w:pStyle w:val="Textoindependiente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708EE14A" w14:textId="77777777" w:rsidR="004F4EA8" w:rsidRDefault="00000000">
      <w:pPr>
        <w:pStyle w:val="Textoindependiente"/>
        <w:numPr>
          <w:ilvl w:val="0"/>
          <w:numId w:val="2"/>
        </w:num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CONSEJO RECTOR DE LA GERENCIA MUNICIPAL DE URBANISMO:</w:t>
      </w:r>
    </w:p>
    <w:p w14:paraId="3465B883" w14:textId="77777777" w:rsidR="004F4EA8" w:rsidRDefault="004F4EA8">
      <w:pPr>
        <w:pStyle w:val="Textoindependiente"/>
        <w:jc w:val="both"/>
        <w:rPr>
          <w:rFonts w:ascii="Calibri" w:hAnsi="Calibri" w:cs="Calibri"/>
          <w:sz w:val="28"/>
          <w:szCs w:val="28"/>
        </w:rPr>
      </w:pPr>
    </w:p>
    <w:p w14:paraId="3D645155" w14:textId="77777777" w:rsidR="004F4EA8" w:rsidRDefault="00000000">
      <w:pPr>
        <w:tabs>
          <w:tab w:val="left" w:pos="585"/>
        </w:tabs>
        <w:ind w:right="43"/>
        <w:jc w:val="both"/>
      </w:pPr>
      <w:r>
        <w:rPr>
          <w:rFonts w:ascii="Calibri" w:hAnsi="Calibri" w:cs="Calibri"/>
          <w:color w:val="231F20"/>
          <w:spacing w:val="-3"/>
          <w:sz w:val="28"/>
          <w:szCs w:val="28"/>
        </w:rPr>
        <w:t>Le corresponde la</w:t>
      </w:r>
      <w:r>
        <w:rPr>
          <w:rFonts w:ascii="Calibri" w:hAnsi="Calibri" w:cs="Calibri"/>
          <w:color w:val="231F20"/>
          <w:spacing w:val="-22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pacing w:val="-4"/>
          <w:sz w:val="28"/>
          <w:szCs w:val="28"/>
        </w:rPr>
        <w:t>aprobación</w:t>
      </w:r>
      <w:r>
        <w:rPr>
          <w:rFonts w:ascii="Calibri" w:hAnsi="Calibri" w:cs="Calibri"/>
          <w:color w:val="231F20"/>
          <w:spacing w:val="-22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de</w:t>
      </w:r>
      <w:r>
        <w:rPr>
          <w:rFonts w:ascii="Calibri" w:hAnsi="Calibri" w:cs="Calibri"/>
          <w:color w:val="231F20"/>
          <w:spacing w:val="-22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pacing w:val="-3"/>
          <w:sz w:val="28"/>
          <w:szCs w:val="28"/>
        </w:rPr>
        <w:t>los</w:t>
      </w:r>
      <w:r>
        <w:rPr>
          <w:rFonts w:ascii="Calibri" w:hAnsi="Calibri" w:cs="Calibri"/>
          <w:color w:val="231F20"/>
          <w:spacing w:val="-22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pacing w:val="-4"/>
          <w:sz w:val="28"/>
          <w:szCs w:val="28"/>
        </w:rPr>
        <w:t>expedientes</w:t>
      </w:r>
      <w:r>
        <w:rPr>
          <w:rFonts w:ascii="Calibri" w:hAnsi="Calibri" w:cs="Calibri"/>
          <w:color w:val="231F20"/>
          <w:spacing w:val="-22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de</w:t>
      </w:r>
      <w:r>
        <w:rPr>
          <w:rFonts w:ascii="Calibri" w:hAnsi="Calibri" w:cs="Calibri"/>
          <w:color w:val="231F20"/>
          <w:spacing w:val="-22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pacing w:val="-5"/>
          <w:sz w:val="28"/>
          <w:szCs w:val="28"/>
        </w:rPr>
        <w:t xml:space="preserve">contratación </w:t>
      </w:r>
      <w:r>
        <w:rPr>
          <w:rFonts w:ascii="Calibri" w:hAnsi="Calibri" w:cs="Calibri"/>
          <w:color w:val="231F20"/>
          <w:sz w:val="28"/>
          <w:szCs w:val="28"/>
        </w:rPr>
        <w:t xml:space="preserve">y los pliegos de cláusulas particulares y pliegos </w:t>
      </w:r>
      <w:r>
        <w:rPr>
          <w:rFonts w:ascii="Calibri" w:hAnsi="Calibri" w:cs="Calibri"/>
          <w:color w:val="231F20"/>
          <w:spacing w:val="-6"/>
          <w:sz w:val="28"/>
          <w:szCs w:val="28"/>
        </w:rPr>
        <w:t xml:space="preserve">de </w:t>
      </w:r>
      <w:r>
        <w:rPr>
          <w:rFonts w:ascii="Calibri" w:hAnsi="Calibri" w:cs="Calibri"/>
          <w:color w:val="231F20"/>
          <w:sz w:val="28"/>
          <w:szCs w:val="28"/>
        </w:rPr>
        <w:t>prescripciones técnicas particulares cuando la contratación exceda del 10% de los recursos ordinarios del</w:t>
      </w:r>
      <w:r>
        <w:rPr>
          <w:rFonts w:ascii="Calibri" w:hAnsi="Calibri" w:cs="Calibri"/>
          <w:color w:val="231F20"/>
          <w:spacing w:val="-26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Presupuesto</w:t>
      </w:r>
      <w:r>
        <w:rPr>
          <w:rFonts w:ascii="Calibri" w:hAnsi="Calibri" w:cs="Calibri"/>
          <w:color w:val="231F20"/>
          <w:spacing w:val="-26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de</w:t>
      </w:r>
      <w:r>
        <w:rPr>
          <w:rFonts w:ascii="Calibri" w:hAnsi="Calibri" w:cs="Calibri"/>
          <w:color w:val="231F20"/>
          <w:spacing w:val="-25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la</w:t>
      </w:r>
      <w:r>
        <w:rPr>
          <w:rFonts w:ascii="Calibri" w:hAnsi="Calibri" w:cs="Calibri"/>
          <w:color w:val="231F20"/>
          <w:spacing w:val="-27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color w:val="231F20"/>
          <w:sz w:val="28"/>
          <w:szCs w:val="28"/>
        </w:rPr>
        <w:t>Gerencia</w:t>
      </w:r>
      <w:proofErr w:type="gramEnd"/>
      <w:r>
        <w:rPr>
          <w:rFonts w:ascii="Calibri" w:hAnsi="Calibri" w:cs="Calibri"/>
          <w:color w:val="231F20"/>
          <w:spacing w:val="-26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así</w:t>
      </w:r>
      <w:r>
        <w:rPr>
          <w:rFonts w:ascii="Calibri" w:hAnsi="Calibri" w:cs="Calibri"/>
          <w:color w:val="231F20"/>
          <w:spacing w:val="-26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como</w:t>
      </w:r>
      <w:r>
        <w:rPr>
          <w:rFonts w:ascii="Calibri" w:hAnsi="Calibri" w:cs="Calibri"/>
          <w:color w:val="231F20"/>
          <w:spacing w:val="-26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los</w:t>
      </w:r>
      <w:r>
        <w:rPr>
          <w:rFonts w:ascii="Calibri" w:hAnsi="Calibri" w:cs="Calibri"/>
          <w:color w:val="231F20"/>
          <w:spacing w:val="-25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contratos y concesiones plurianuales cuando su duración sea superior a cuatro</w:t>
      </w:r>
      <w:r>
        <w:rPr>
          <w:rFonts w:ascii="Calibri" w:hAnsi="Calibri" w:cs="Calibri"/>
          <w:color w:val="231F2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años.</w:t>
      </w:r>
    </w:p>
    <w:p w14:paraId="4C90F841" w14:textId="77777777" w:rsidR="004F4EA8" w:rsidRDefault="004F4EA8">
      <w:pPr>
        <w:jc w:val="both"/>
        <w:rPr>
          <w:rFonts w:ascii="Calibri" w:hAnsi="Calibri" w:cs="Calibri"/>
          <w:b/>
          <w:sz w:val="28"/>
          <w:szCs w:val="28"/>
        </w:rPr>
      </w:pPr>
    </w:p>
    <w:p w14:paraId="7090AF4D" w14:textId="77777777" w:rsidR="004F4EA8" w:rsidRDefault="00000000">
      <w:pPr>
        <w:pStyle w:val="Textoindependiente"/>
        <w:numPr>
          <w:ilvl w:val="0"/>
          <w:numId w:val="2"/>
        </w:num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PRESIDENTE DE LA GERENCIA MUNICIPAL DE URBANISMO:</w:t>
      </w:r>
    </w:p>
    <w:p w14:paraId="79A20711" w14:textId="77777777" w:rsidR="004F4EA8" w:rsidRDefault="004F4EA8">
      <w:pPr>
        <w:jc w:val="both"/>
        <w:rPr>
          <w:rFonts w:ascii="Calibri" w:hAnsi="Calibri" w:cs="Calibri"/>
          <w:b/>
          <w:sz w:val="28"/>
          <w:szCs w:val="28"/>
        </w:rPr>
      </w:pPr>
    </w:p>
    <w:p w14:paraId="57F61F2B" w14:textId="77777777" w:rsidR="004F4EA8" w:rsidRDefault="00000000">
      <w:pPr>
        <w:tabs>
          <w:tab w:val="left" w:pos="479"/>
        </w:tabs>
        <w:jc w:val="both"/>
      </w:pPr>
      <w:r>
        <w:rPr>
          <w:rFonts w:ascii="Calibri" w:hAnsi="Calibri" w:cs="Calibri"/>
          <w:sz w:val="28"/>
          <w:szCs w:val="28"/>
        </w:rPr>
        <w:t>Le corresponde l</w:t>
      </w:r>
      <w:r>
        <w:rPr>
          <w:rFonts w:ascii="Calibri" w:hAnsi="Calibri" w:cs="Calibri"/>
          <w:color w:val="231F20"/>
          <w:sz w:val="28"/>
          <w:szCs w:val="28"/>
        </w:rPr>
        <w:t>a</w:t>
      </w:r>
      <w:r>
        <w:rPr>
          <w:rFonts w:ascii="Calibri" w:hAnsi="Calibri" w:cs="Calibri"/>
          <w:color w:val="231F20"/>
          <w:spacing w:val="-26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aprobación</w:t>
      </w:r>
      <w:r>
        <w:rPr>
          <w:rFonts w:ascii="Calibri" w:hAnsi="Calibri" w:cs="Calibri"/>
          <w:color w:val="231F20"/>
          <w:spacing w:val="-25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de</w:t>
      </w:r>
      <w:r>
        <w:rPr>
          <w:rFonts w:ascii="Calibri" w:hAnsi="Calibri" w:cs="Calibri"/>
          <w:color w:val="231F20"/>
          <w:spacing w:val="-25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los</w:t>
      </w:r>
      <w:r>
        <w:rPr>
          <w:rFonts w:ascii="Calibri" w:hAnsi="Calibri" w:cs="Calibri"/>
          <w:color w:val="231F20"/>
          <w:spacing w:val="-25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expedientes</w:t>
      </w:r>
      <w:r>
        <w:rPr>
          <w:rFonts w:ascii="Calibri" w:hAnsi="Calibri" w:cs="Calibri"/>
          <w:color w:val="231F20"/>
          <w:spacing w:val="-26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de</w:t>
      </w:r>
      <w:r>
        <w:rPr>
          <w:rFonts w:ascii="Calibri" w:hAnsi="Calibri" w:cs="Calibri"/>
          <w:color w:val="231F20"/>
          <w:spacing w:val="-25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pacing w:val="-2"/>
          <w:sz w:val="28"/>
          <w:szCs w:val="28"/>
        </w:rPr>
        <w:t xml:space="preserve">contratación </w:t>
      </w:r>
      <w:r>
        <w:rPr>
          <w:rFonts w:ascii="Calibri" w:hAnsi="Calibri" w:cs="Calibri"/>
          <w:color w:val="231F20"/>
          <w:sz w:val="28"/>
          <w:szCs w:val="28"/>
        </w:rPr>
        <w:t>y los pliegos de cláusulas generales, particulares y pliegos de prescripciones técnicas cuando la</w:t>
      </w:r>
      <w:r>
        <w:rPr>
          <w:rFonts w:ascii="Calibri" w:hAnsi="Calibri" w:cs="Calibri"/>
          <w:color w:val="231F20"/>
          <w:spacing w:val="-29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pacing w:val="-3"/>
          <w:sz w:val="28"/>
          <w:szCs w:val="28"/>
        </w:rPr>
        <w:t>contra</w:t>
      </w:r>
      <w:r>
        <w:rPr>
          <w:rFonts w:ascii="Calibri" w:hAnsi="Calibri" w:cs="Calibri"/>
          <w:color w:val="231F20"/>
          <w:sz w:val="28"/>
          <w:szCs w:val="28"/>
        </w:rPr>
        <w:t>tación</w:t>
      </w:r>
      <w:r>
        <w:rPr>
          <w:rFonts w:ascii="Calibri" w:hAnsi="Calibri" w:cs="Calibri"/>
          <w:color w:val="231F2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no</w:t>
      </w:r>
      <w:r>
        <w:rPr>
          <w:rFonts w:ascii="Calibri" w:hAnsi="Calibri" w:cs="Calibri"/>
          <w:color w:val="231F2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exceda</w:t>
      </w:r>
      <w:r>
        <w:rPr>
          <w:rFonts w:ascii="Calibri" w:hAnsi="Calibri" w:cs="Calibri"/>
          <w:color w:val="231F2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del</w:t>
      </w:r>
      <w:r>
        <w:rPr>
          <w:rFonts w:ascii="Calibri" w:hAnsi="Calibri" w:cs="Calibri"/>
          <w:color w:val="231F2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cinco</w:t>
      </w:r>
      <w:r>
        <w:rPr>
          <w:rFonts w:ascii="Calibri" w:hAnsi="Calibri" w:cs="Calibri"/>
          <w:color w:val="231F2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por</w:t>
      </w:r>
      <w:r>
        <w:rPr>
          <w:rFonts w:ascii="Calibri" w:hAnsi="Calibri" w:cs="Calibri"/>
          <w:color w:val="231F2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ciento</w:t>
      </w:r>
      <w:r>
        <w:rPr>
          <w:rFonts w:ascii="Calibri" w:hAnsi="Calibri" w:cs="Calibri"/>
          <w:color w:val="231F2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de</w:t>
      </w:r>
      <w:r>
        <w:rPr>
          <w:rFonts w:ascii="Calibri" w:hAnsi="Calibri" w:cs="Calibri"/>
          <w:color w:val="231F2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los</w:t>
      </w:r>
      <w:r>
        <w:rPr>
          <w:rFonts w:ascii="Calibri" w:hAnsi="Calibri" w:cs="Calibri"/>
          <w:color w:val="231F20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recursos ordinarios del Presupuesto de la</w:t>
      </w:r>
      <w:r>
        <w:rPr>
          <w:rFonts w:ascii="Calibri" w:hAnsi="Calibri" w:cs="Calibri"/>
          <w:color w:val="231F20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color w:val="231F20"/>
          <w:sz w:val="28"/>
          <w:szCs w:val="28"/>
        </w:rPr>
        <w:t>Gerencia.</w:t>
      </w:r>
    </w:p>
    <w:p w14:paraId="1816A88A" w14:textId="77777777" w:rsidR="004F4EA8" w:rsidRDefault="004F4EA8">
      <w:pPr>
        <w:pStyle w:val="Textoindependiente"/>
        <w:rPr>
          <w:rFonts w:ascii="Calibri" w:hAnsi="Calibri" w:cs="Calibri"/>
          <w:sz w:val="28"/>
          <w:szCs w:val="28"/>
        </w:rPr>
      </w:pPr>
    </w:p>
    <w:p w14:paraId="384C6989" w14:textId="77777777" w:rsidR="004F4EA8" w:rsidRDefault="00000000">
      <w:pPr>
        <w:pStyle w:val="Textoindependiente"/>
        <w:numPr>
          <w:ilvl w:val="0"/>
          <w:numId w:val="2"/>
        </w:numPr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CONSEJERA DIRECTORA DE LA GERENCIA MUNICIPAL DE URBANISMO:</w:t>
      </w:r>
    </w:p>
    <w:p w14:paraId="66797779" w14:textId="77777777" w:rsidR="004F4EA8" w:rsidRDefault="004F4EA8">
      <w:pPr>
        <w:pStyle w:val="Textoindependiente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14:paraId="5CE93A77" w14:textId="77777777" w:rsidR="004F4EA8" w:rsidRDefault="00000000">
      <w:pPr>
        <w:pStyle w:val="Textoindependiente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Le corresponde la contratación menor</w:t>
      </w:r>
    </w:p>
    <w:p w14:paraId="7A74DB71" w14:textId="77777777" w:rsidR="004F4EA8" w:rsidRDefault="004F4EA8">
      <w:pPr>
        <w:pStyle w:val="Prrafodelista"/>
        <w:ind w:left="720" w:firstLine="0"/>
      </w:pPr>
    </w:p>
    <w:p w14:paraId="701373B0" w14:textId="22576493" w:rsidR="004F4EA8" w:rsidRDefault="00000000">
      <w:pPr>
        <w:jc w:val="both"/>
      </w:pPr>
      <w:r>
        <w:rPr>
          <w:rStyle w:val="nfasis"/>
          <w:rFonts w:ascii="Calibri" w:hAnsi="Calibri" w:cs="Calibri"/>
          <w:sz w:val="28"/>
          <w:szCs w:val="28"/>
        </w:rPr>
        <w:t>Para más información, acceda a</w:t>
      </w:r>
      <w:r w:rsidR="000C5A78">
        <w:rPr>
          <w:rStyle w:val="nfasis"/>
          <w:rFonts w:ascii="Calibri" w:hAnsi="Calibri" w:cs="Calibri"/>
          <w:sz w:val="28"/>
          <w:szCs w:val="28"/>
        </w:rPr>
        <w:t xml:space="preserve"> su</w:t>
      </w:r>
      <w:r>
        <w:rPr>
          <w:rStyle w:val="nfasis"/>
          <w:rFonts w:ascii="Calibri" w:hAnsi="Calibri" w:cs="Calibri"/>
          <w:sz w:val="28"/>
          <w:szCs w:val="28"/>
        </w:rPr>
        <w:t xml:space="preserve"> </w:t>
      </w:r>
      <w:hyperlink r:id="rId7" w:history="1">
        <w:r>
          <w:rPr>
            <w:rStyle w:val="Hipervnculo"/>
            <w:rFonts w:ascii="Calibri" w:hAnsi="Calibri" w:cs="Calibri"/>
            <w:i/>
            <w:iCs/>
            <w:sz w:val="28"/>
            <w:szCs w:val="28"/>
          </w:rPr>
          <w:t>perfil del contratante</w:t>
        </w:r>
      </w:hyperlink>
    </w:p>
    <w:p w14:paraId="354A07AC" w14:textId="77777777" w:rsidR="004F4EA8" w:rsidRDefault="004F4EA8">
      <w:pPr>
        <w:jc w:val="both"/>
      </w:pPr>
    </w:p>
    <w:p w14:paraId="74151824" w14:textId="77777777" w:rsidR="004F4EA8" w:rsidRDefault="00000000">
      <w:pPr>
        <w:widowControl w:val="0"/>
        <w:autoSpaceDE w:val="0"/>
        <w:ind w:right="111"/>
        <w:jc w:val="both"/>
        <w:textAlignment w:val="baseline"/>
        <w:rPr>
          <w:rFonts w:ascii="Calibri" w:hAnsi="Calibri" w:cs="Calibri"/>
          <w:b/>
          <w:bCs/>
          <w:color w:val="231F20"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color w:val="231F20"/>
          <w:sz w:val="28"/>
          <w:szCs w:val="28"/>
          <w:lang w:eastAsia="en-US"/>
        </w:rPr>
        <w:t>Dirección:</w:t>
      </w:r>
    </w:p>
    <w:p w14:paraId="684C01EE" w14:textId="77777777" w:rsidR="004F4EA8" w:rsidRDefault="00000000">
      <w:pPr>
        <w:jc w:val="both"/>
      </w:pPr>
      <w:r>
        <w:rPr>
          <w:rStyle w:val="Hipervnculo"/>
          <w:rFonts w:ascii="Calibri" w:hAnsi="Calibri" w:cs="Calibri"/>
          <w:color w:val="auto"/>
          <w:sz w:val="28"/>
          <w:szCs w:val="28"/>
          <w:u w:val="none"/>
        </w:rPr>
        <w:t>Avda. de Canarias, 6. 2ª planta</w:t>
      </w:r>
    </w:p>
    <w:p w14:paraId="46F2F42F" w14:textId="77777777" w:rsidR="004F4EA8" w:rsidRDefault="00000000">
      <w:pPr>
        <w:jc w:val="both"/>
      </w:pPr>
      <w:r>
        <w:rPr>
          <w:rStyle w:val="Hipervnculo"/>
          <w:rFonts w:ascii="Calibri" w:hAnsi="Calibri" w:cs="Calibri"/>
          <w:color w:val="auto"/>
          <w:sz w:val="28"/>
          <w:szCs w:val="28"/>
          <w:u w:val="none"/>
        </w:rPr>
        <w:t xml:space="preserve">38410 - Los Realejos </w:t>
      </w:r>
    </w:p>
    <w:p w14:paraId="718E780D" w14:textId="77777777" w:rsidR="004F4EA8" w:rsidRDefault="00000000">
      <w:pPr>
        <w:jc w:val="both"/>
      </w:pPr>
      <w:r>
        <w:rPr>
          <w:rStyle w:val="Hipervnculo"/>
          <w:rFonts w:ascii="Calibri" w:hAnsi="Calibri" w:cs="Calibri"/>
          <w:color w:val="auto"/>
          <w:sz w:val="28"/>
          <w:szCs w:val="28"/>
          <w:u w:val="none"/>
        </w:rPr>
        <w:t xml:space="preserve">Teléfono: 922346234 </w:t>
      </w:r>
      <w:proofErr w:type="spellStart"/>
      <w:r>
        <w:rPr>
          <w:rStyle w:val="Hipervnculo"/>
          <w:rFonts w:ascii="Calibri" w:hAnsi="Calibri" w:cs="Calibri"/>
          <w:color w:val="auto"/>
          <w:sz w:val="28"/>
          <w:szCs w:val="28"/>
          <w:u w:val="none"/>
        </w:rPr>
        <w:t>ext</w:t>
      </w:r>
      <w:proofErr w:type="spellEnd"/>
      <w:r>
        <w:rPr>
          <w:rStyle w:val="Hipervnculo"/>
          <w:rFonts w:ascii="Calibri" w:hAnsi="Calibri" w:cs="Calibri"/>
          <w:color w:val="auto"/>
          <w:sz w:val="28"/>
          <w:szCs w:val="28"/>
          <w:u w:val="none"/>
        </w:rPr>
        <w:t xml:space="preserve"> 4560</w:t>
      </w:r>
    </w:p>
    <w:p w14:paraId="01A087C8" w14:textId="77777777" w:rsidR="004F4EA8" w:rsidRDefault="00000000">
      <w:pPr>
        <w:jc w:val="both"/>
      </w:pPr>
      <w:r>
        <w:rPr>
          <w:rStyle w:val="Hipervnculo"/>
          <w:rFonts w:ascii="Calibri" w:hAnsi="Calibri" w:cs="Calibri"/>
          <w:color w:val="auto"/>
          <w:sz w:val="28"/>
          <w:szCs w:val="28"/>
          <w:u w:val="none"/>
        </w:rPr>
        <w:t>gerencia.urbanismo@losrealejos.es</w:t>
      </w:r>
    </w:p>
    <w:p w14:paraId="0685BD48" w14:textId="77777777" w:rsidR="004F4EA8" w:rsidRDefault="004F4EA8">
      <w:pPr>
        <w:jc w:val="both"/>
        <w:rPr>
          <w:rFonts w:ascii="Calibri" w:hAnsi="Calibri" w:cs="Calibri"/>
          <w:b/>
          <w:sz w:val="28"/>
          <w:szCs w:val="28"/>
        </w:rPr>
      </w:pPr>
    </w:p>
    <w:sectPr w:rsidR="004F4EA8">
      <w:headerReference w:type="default" r:id="rId8"/>
      <w:pgSz w:w="11906" w:h="16838"/>
      <w:pgMar w:top="1440" w:right="1080" w:bottom="993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E845" w14:textId="77777777" w:rsidR="00794179" w:rsidRDefault="00794179">
      <w:r>
        <w:separator/>
      </w:r>
    </w:p>
  </w:endnote>
  <w:endnote w:type="continuationSeparator" w:id="0">
    <w:p w14:paraId="33D77795" w14:textId="77777777" w:rsidR="00794179" w:rsidRDefault="0079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06D8" w14:textId="77777777" w:rsidR="00794179" w:rsidRDefault="00794179">
      <w:r>
        <w:rPr>
          <w:color w:val="000000"/>
        </w:rPr>
        <w:separator/>
      </w:r>
    </w:p>
  </w:footnote>
  <w:footnote w:type="continuationSeparator" w:id="0">
    <w:p w14:paraId="3C738E3A" w14:textId="77777777" w:rsidR="00794179" w:rsidRDefault="00794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11EF" w14:textId="77777777" w:rsidR="00000000" w:rsidRDefault="0000000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4D341C8" wp14:editId="078F5294">
          <wp:simplePos x="0" y="0"/>
          <wp:positionH relativeFrom="margin">
            <wp:align>left</wp:align>
          </wp:positionH>
          <wp:positionV relativeFrom="paragraph">
            <wp:posOffset>-373376</wp:posOffset>
          </wp:positionV>
          <wp:extent cx="1990721" cy="826132"/>
          <wp:effectExtent l="0" t="0" r="0" b="0"/>
          <wp:wrapSquare wrapText="bothSides"/>
          <wp:docPr id="600000827" name="Imagen 1859764981" descr="C:\Users\78614000T\AppData\Local\Microsoft\Windows\INetCache\Content.Word\logo-gerencia-urbanism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1" cy="8261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2FCB"/>
    <w:multiLevelType w:val="multilevel"/>
    <w:tmpl w:val="96D032BC"/>
    <w:lvl w:ilvl="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F00871"/>
    <w:multiLevelType w:val="multilevel"/>
    <w:tmpl w:val="F9720F3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Ttulo2"/>
      <w:lvlText w:val="%2."/>
      <w:lvlJc w:val="left"/>
      <w:pPr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ind w:left="216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Ttulo6"/>
      <w:lvlText w:val="%6."/>
      <w:lvlJc w:val="left"/>
      <w:pPr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ind w:left="5760" w:hanging="720"/>
      </w:pPr>
    </w:lvl>
    <w:lvl w:ilvl="8">
      <w:start w:val="1"/>
      <w:numFmt w:val="none"/>
      <w:lvlText w:val=""/>
      <w:lvlJc w:val="left"/>
    </w:lvl>
  </w:abstractNum>
  <w:num w:numId="1" w16cid:durableId="1688214725">
    <w:abstractNumId w:val="1"/>
  </w:num>
  <w:num w:numId="2" w16cid:durableId="148570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F4EA8"/>
    <w:rsid w:val="000C5A78"/>
    <w:rsid w:val="00135361"/>
    <w:rsid w:val="004F4EA8"/>
    <w:rsid w:val="0079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30CC"/>
  <w15:docId w15:val="{380F30B7-123A-4609-9910-5D66C0AB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character" w:customStyle="1" w:styleId="Ttulo2Car">
    <w:name w:val="Título 2 Car"/>
    <w:basedOn w:val="Fuentedeprrafopredeter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fasis">
    <w:name w:val="Emphasis"/>
    <w:basedOn w:val="Fuentedeprrafopredeter"/>
    <w:rPr>
      <w:i/>
      <w:i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">
    <w:name w:val="Body Text"/>
    <w:basedOn w:val="Normal"/>
    <w:pPr>
      <w:widowControl w:val="0"/>
      <w:autoSpaceDE w:val="0"/>
      <w:textAlignment w:val="baseline"/>
    </w:pPr>
    <w:rPr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pPr>
      <w:widowControl w:val="0"/>
      <w:autoSpaceDE w:val="0"/>
      <w:ind w:left="113" w:right="110" w:firstLine="170"/>
      <w:jc w:val="both"/>
      <w:textAlignment w:val="baseline"/>
    </w:pPr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rataciondelestado.es/wps/poc?uri=deeplink%3AperfilContratante&amp;idBp=DWpeUDZQ7gESugstABGr5A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dc:description/>
  <cp:lastModifiedBy>Eduardo Adminstrador</cp:lastModifiedBy>
  <cp:revision>2</cp:revision>
  <cp:lastPrinted>2024-02-14T11:44:00Z</cp:lastPrinted>
  <dcterms:created xsi:type="dcterms:W3CDTF">2024-02-15T14:45:00Z</dcterms:created>
  <dcterms:modified xsi:type="dcterms:W3CDTF">2024-02-15T14:45:00Z</dcterms:modified>
</cp:coreProperties>
</file>