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960"/>
        <w:gridCol w:w="5400"/>
      </w:tblGrid>
      <w:tr w:rsidR="00C42173" w:rsidTr="008176B3">
        <w:tc>
          <w:tcPr>
            <w:tcW w:w="3960" w:type="dxa"/>
            <w:tcBorders>
              <w:bottom w:val="single" w:sz="12" w:space="0" w:color="000000"/>
            </w:tcBorders>
            <w:shd w:val="clear" w:color="auto" w:fill="auto"/>
            <w:vAlign w:val="center"/>
          </w:tcPr>
          <w:p w:rsidR="00FF0727" w:rsidRDefault="00526C4B">
            <w:pPr>
              <w:rPr>
                <w:rFonts w:ascii="Arial" w:hAnsi="Arial" w:cs="Arial"/>
                <w:spacing w:val="50"/>
                <w:sz w:val="26"/>
              </w:rPr>
            </w:pPr>
            <w:r>
              <w:rPr>
                <w:rFonts w:ascii="Arial" w:hAnsi="Arial" w:cs="Arial"/>
                <w:b/>
                <w:i/>
                <w:noProof/>
                <w:sz w:val="26"/>
                <w:lang w:eastAsia="es-ES"/>
              </w:rPr>
              <w:drawing>
                <wp:inline distT="0" distB="0" distL="0" distR="0">
                  <wp:extent cx="2000250" cy="8191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000250" cy="819150"/>
                          </a:xfrm>
                          <a:prstGeom prst="rect">
                            <a:avLst/>
                          </a:prstGeom>
                          <a:solidFill>
                            <a:srgbClr val="FFFFFF"/>
                          </a:solidFill>
                          <a:ln>
                            <a:noFill/>
                          </a:ln>
                        </pic:spPr>
                      </pic:pic>
                    </a:graphicData>
                  </a:graphic>
                </wp:inline>
              </w:drawing>
            </w:r>
          </w:p>
        </w:tc>
        <w:tc>
          <w:tcPr>
            <w:tcW w:w="5400" w:type="dxa"/>
            <w:tcBorders>
              <w:bottom w:val="single" w:sz="12" w:space="0" w:color="000000"/>
            </w:tcBorders>
            <w:shd w:val="clear" w:color="auto" w:fill="auto"/>
            <w:vAlign w:val="center"/>
          </w:tcPr>
          <w:p w:rsidR="00FF0727" w:rsidRDefault="00526C4B">
            <w:pPr>
              <w:pStyle w:val="Textoindependiente"/>
              <w:jc w:val="center"/>
              <w:rPr>
                <w:spacing w:val="50"/>
                <w:sz w:val="26"/>
              </w:rPr>
            </w:pPr>
            <w:r>
              <w:rPr>
                <w:spacing w:val="50"/>
                <w:sz w:val="26"/>
              </w:rPr>
              <w:t xml:space="preserve">DECRETO DE LA </w:t>
            </w:r>
          </w:p>
          <w:p w:rsidR="00FF0727" w:rsidRDefault="00526C4B">
            <w:pPr>
              <w:jc w:val="center"/>
            </w:pPr>
            <w:r>
              <w:rPr>
                <w:rFonts w:ascii="Arial" w:hAnsi="Arial" w:cs="Arial"/>
                <w:spacing w:val="50"/>
                <w:sz w:val="26"/>
              </w:rPr>
              <w:t>ALCALDÍA - PRESIDENCIA</w:t>
            </w:r>
          </w:p>
        </w:tc>
      </w:tr>
      <w:tr w:rsidR="00C42173" w:rsidRPr="00526C4B" w:rsidTr="008176B3">
        <w:tc>
          <w:tcPr>
            <w:tcW w:w="3960" w:type="dxa"/>
            <w:tcBorders>
              <w:top w:val="single" w:sz="12" w:space="0" w:color="000000"/>
              <w:bottom w:val="single" w:sz="12" w:space="0" w:color="000000"/>
            </w:tcBorders>
            <w:shd w:val="clear" w:color="auto" w:fill="auto"/>
            <w:vAlign w:val="center"/>
          </w:tcPr>
          <w:p w:rsidR="00FF0727" w:rsidRPr="00526C4B" w:rsidRDefault="00526C4B" w:rsidP="00AE0DE3">
            <w:pPr>
              <w:rPr>
                <w:rFonts w:ascii="Arial" w:hAnsi="Arial" w:cs="Arial"/>
                <w:b/>
                <w:sz w:val="22"/>
                <w:szCs w:val="22"/>
              </w:rPr>
            </w:pPr>
            <w:r w:rsidRPr="00526C4B">
              <w:rPr>
                <w:rFonts w:ascii="Arial" w:hAnsi="Arial" w:cs="Arial"/>
                <w:b/>
                <w:sz w:val="22"/>
                <w:szCs w:val="22"/>
              </w:rPr>
              <w:t>Expediente:</w:t>
            </w:r>
            <w:r w:rsidRPr="00526C4B">
              <w:rPr>
                <w:rFonts w:ascii="Arial" w:hAnsi="Arial" w:cs="Arial"/>
                <w:sz w:val="22"/>
                <w:szCs w:val="22"/>
              </w:rPr>
              <w:t xml:space="preserve">  </w:t>
            </w:r>
            <w:r w:rsidRPr="00526C4B">
              <w:rPr>
                <w:rFonts w:ascii="Arial" w:hAnsi="Arial" w:cs="Arial"/>
                <w:b/>
                <w:sz w:val="22"/>
                <w:szCs w:val="22"/>
              </w:rPr>
              <w:t xml:space="preserve">2018/3182   </w:t>
            </w:r>
          </w:p>
        </w:tc>
        <w:tc>
          <w:tcPr>
            <w:tcW w:w="5400" w:type="dxa"/>
            <w:tcBorders>
              <w:top w:val="single" w:sz="12" w:space="0" w:color="000000"/>
              <w:bottom w:val="single" w:sz="12" w:space="0" w:color="000000"/>
            </w:tcBorders>
            <w:shd w:val="clear" w:color="auto" w:fill="auto"/>
            <w:vAlign w:val="center"/>
          </w:tcPr>
          <w:p w:rsidR="00FF0727" w:rsidRPr="00526C4B" w:rsidRDefault="00526C4B" w:rsidP="00526C4B">
            <w:pPr>
              <w:rPr>
                <w:sz w:val="22"/>
                <w:szCs w:val="22"/>
              </w:rPr>
            </w:pPr>
            <w:r w:rsidRPr="00526C4B">
              <w:rPr>
                <w:rFonts w:ascii="Arial" w:hAnsi="Arial" w:cs="Arial"/>
                <w:b/>
                <w:sz w:val="22"/>
                <w:szCs w:val="22"/>
              </w:rPr>
              <w:t>Centro Gestor: Secretaría-</w:t>
            </w:r>
          </w:p>
        </w:tc>
      </w:tr>
    </w:tbl>
    <w:p w:rsidR="00416BEA" w:rsidRDefault="00416BEA" w:rsidP="00416BEA">
      <w:pPr>
        <w:rPr>
          <w:rFonts w:ascii="Arial" w:hAnsi="Arial" w:cs="Arial"/>
          <w:b/>
          <w:sz w:val="22"/>
          <w:szCs w:val="22"/>
          <w:u w:val="single"/>
        </w:rPr>
      </w:pPr>
    </w:p>
    <w:p w:rsidR="00FF0727" w:rsidRPr="008176B3" w:rsidRDefault="00416BEA" w:rsidP="00416BEA">
      <w:pPr>
        <w:rPr>
          <w:rFonts w:ascii="Arial" w:hAnsi="Arial" w:cs="Arial"/>
          <w:sz w:val="22"/>
          <w:szCs w:val="22"/>
        </w:rPr>
      </w:pPr>
      <w:r w:rsidRPr="008176B3">
        <w:rPr>
          <w:rFonts w:ascii="Arial" w:hAnsi="Arial" w:cs="Arial"/>
          <w:sz w:val="22"/>
          <w:szCs w:val="22"/>
        </w:rPr>
        <w:t>Con base a los siguientes:</w:t>
      </w:r>
    </w:p>
    <w:p w:rsidR="00FF0727" w:rsidRDefault="00630BAF">
      <w:pPr>
        <w:ind w:firstLine="708"/>
        <w:jc w:val="both"/>
        <w:rPr>
          <w:rFonts w:ascii="Arial" w:hAnsi="Arial" w:cs="Arial"/>
        </w:rPr>
      </w:pPr>
    </w:p>
    <w:p w:rsidR="00416BEA" w:rsidRDefault="00416BEA" w:rsidP="00416BEA">
      <w:pPr>
        <w:pStyle w:val="NormalWeb"/>
        <w:spacing w:before="0" w:beforeAutospacing="0" w:after="0" w:line="240" w:lineRule="auto"/>
        <w:ind w:firstLine="567"/>
        <w:jc w:val="center"/>
        <w:rPr>
          <w:rFonts w:ascii="Arial" w:hAnsi="Arial" w:cs="Arial"/>
          <w:sz w:val="22"/>
          <w:szCs w:val="22"/>
        </w:rPr>
      </w:pPr>
      <w:r>
        <w:rPr>
          <w:rFonts w:ascii="Arial" w:hAnsi="Arial" w:cs="Arial"/>
          <w:b/>
          <w:bCs/>
          <w:sz w:val="22"/>
          <w:szCs w:val="22"/>
        </w:rPr>
        <w:t>ANTECEDENTES DE HECHO</w:t>
      </w:r>
    </w:p>
    <w:p w:rsidR="00416BEA" w:rsidRDefault="00416BEA" w:rsidP="00416BEA">
      <w:pPr>
        <w:pStyle w:val="NormalWeb"/>
        <w:spacing w:before="0" w:beforeAutospacing="0" w:after="0" w:line="240" w:lineRule="auto"/>
        <w:ind w:firstLine="567"/>
        <w:jc w:val="both"/>
        <w:rPr>
          <w:rFonts w:ascii="Arial" w:hAnsi="Arial" w:cs="Arial"/>
          <w:sz w:val="22"/>
          <w:szCs w:val="22"/>
        </w:rPr>
      </w:pPr>
    </w:p>
    <w:p w:rsidR="00416BEA" w:rsidRDefault="00416BEA" w:rsidP="00416BEA">
      <w:pPr>
        <w:pStyle w:val="NormalWeb"/>
        <w:spacing w:before="0" w:beforeAutospacing="0" w:after="0" w:line="240" w:lineRule="auto"/>
        <w:ind w:firstLine="567"/>
        <w:jc w:val="both"/>
        <w:rPr>
          <w:rFonts w:ascii="Arial" w:hAnsi="Arial" w:cs="Arial"/>
          <w:sz w:val="22"/>
          <w:szCs w:val="22"/>
        </w:rPr>
      </w:pPr>
      <w:r>
        <w:rPr>
          <w:rFonts w:ascii="Arial" w:hAnsi="Arial" w:cs="Arial"/>
          <w:sz w:val="22"/>
          <w:szCs w:val="22"/>
          <w:u w:val="single"/>
        </w:rPr>
        <w:t>PRIMERO</w:t>
      </w:r>
      <w:r>
        <w:rPr>
          <w:rFonts w:ascii="Arial" w:hAnsi="Arial" w:cs="Arial"/>
          <w:sz w:val="22"/>
          <w:szCs w:val="22"/>
        </w:rPr>
        <w:t>.- De la relación establecida en la Ley 39/2015, de 1 de octubre, del Procedimiento Administrativo común de las Administraciones Públicas, se deriva un nuevo procedimiento para el ejercicio de la potestad reglamentaria que se inicia con la aprobación del Plan Anual Normativo, que se erige en instrumento de planificación de las iniciativas normativas (legales o reglamentarias) que se pretendan aprobar por el órgano competente en el año siguiente.</w:t>
      </w:r>
    </w:p>
    <w:p w:rsidR="00416BEA" w:rsidRDefault="00416BEA" w:rsidP="00416BEA">
      <w:pPr>
        <w:pStyle w:val="NormalWeb"/>
        <w:spacing w:before="0" w:beforeAutospacing="0" w:after="0" w:line="240" w:lineRule="auto"/>
        <w:ind w:firstLine="567"/>
        <w:jc w:val="both"/>
        <w:rPr>
          <w:rFonts w:ascii="Arial" w:hAnsi="Arial" w:cs="Arial"/>
          <w:sz w:val="22"/>
          <w:szCs w:val="22"/>
        </w:rPr>
      </w:pPr>
    </w:p>
    <w:p w:rsidR="00416BEA" w:rsidRDefault="00416BEA" w:rsidP="00416BEA">
      <w:pPr>
        <w:pStyle w:val="NormalWeb"/>
        <w:spacing w:before="0" w:beforeAutospacing="0" w:after="0" w:line="240" w:lineRule="auto"/>
        <w:ind w:firstLine="567"/>
        <w:jc w:val="both"/>
        <w:rPr>
          <w:rFonts w:ascii="Arial" w:hAnsi="Arial" w:cs="Arial"/>
          <w:sz w:val="22"/>
          <w:szCs w:val="22"/>
        </w:rPr>
      </w:pPr>
      <w:r>
        <w:rPr>
          <w:rFonts w:ascii="Arial" w:hAnsi="Arial" w:cs="Arial"/>
          <w:sz w:val="22"/>
          <w:szCs w:val="22"/>
          <w:u w:val="single"/>
        </w:rPr>
        <w:t>SEGUNDO</w:t>
      </w:r>
      <w:r>
        <w:rPr>
          <w:rFonts w:ascii="Arial" w:hAnsi="Arial" w:cs="Arial"/>
          <w:sz w:val="22"/>
          <w:szCs w:val="22"/>
        </w:rPr>
        <w:t>.- Desde las diferentes áreas del Ayuntamiento se ha suministrado hacia la Secretaría General las propuestas normativas que pretenden ser elevadas para s</w:t>
      </w:r>
      <w:r w:rsidR="00D42EB3">
        <w:rPr>
          <w:rFonts w:ascii="Arial" w:hAnsi="Arial" w:cs="Arial"/>
          <w:sz w:val="22"/>
          <w:szCs w:val="22"/>
        </w:rPr>
        <w:t>u aprobación en el año 2021</w:t>
      </w:r>
      <w:r>
        <w:rPr>
          <w:rFonts w:ascii="Arial" w:hAnsi="Arial" w:cs="Arial"/>
          <w:sz w:val="22"/>
          <w:szCs w:val="22"/>
        </w:rPr>
        <w:t xml:space="preserve"> con el objetivo último de integrar aquellas en un plan anual normativo y proceder a su aprobación por el Alcalde Presidente.</w:t>
      </w:r>
    </w:p>
    <w:p w:rsidR="00416BEA" w:rsidRDefault="00416BEA" w:rsidP="00416BEA">
      <w:pPr>
        <w:pStyle w:val="NormalWeb"/>
        <w:spacing w:before="0" w:beforeAutospacing="0" w:after="0" w:line="240" w:lineRule="auto"/>
        <w:ind w:firstLine="567"/>
        <w:jc w:val="both"/>
        <w:rPr>
          <w:rFonts w:ascii="Arial" w:hAnsi="Arial" w:cs="Arial"/>
          <w:sz w:val="22"/>
          <w:szCs w:val="22"/>
        </w:rPr>
      </w:pPr>
      <w:r>
        <w:rPr>
          <w:rFonts w:ascii="Arial" w:hAnsi="Arial" w:cs="Arial"/>
          <w:sz w:val="22"/>
          <w:szCs w:val="22"/>
        </w:rPr>
        <w:t>A los anteriores hechos le son de aplicación los siguientes:</w:t>
      </w:r>
    </w:p>
    <w:p w:rsidR="00416BEA" w:rsidRDefault="00416BEA" w:rsidP="00416BEA">
      <w:pPr>
        <w:pStyle w:val="NormalWeb"/>
        <w:spacing w:before="0" w:beforeAutospacing="0" w:after="0" w:line="240" w:lineRule="auto"/>
        <w:ind w:firstLine="567"/>
        <w:jc w:val="both"/>
        <w:rPr>
          <w:rFonts w:ascii="Arial" w:hAnsi="Arial" w:cs="Arial"/>
          <w:sz w:val="22"/>
          <w:szCs w:val="22"/>
        </w:rPr>
      </w:pPr>
    </w:p>
    <w:p w:rsidR="00416BEA" w:rsidRDefault="00416BEA" w:rsidP="00416BEA">
      <w:pPr>
        <w:pStyle w:val="NormalWeb"/>
        <w:spacing w:before="0" w:beforeAutospacing="0" w:after="0" w:line="240" w:lineRule="auto"/>
        <w:ind w:firstLine="567"/>
        <w:jc w:val="center"/>
        <w:rPr>
          <w:rFonts w:ascii="Arial" w:hAnsi="Arial" w:cs="Arial"/>
          <w:sz w:val="22"/>
          <w:szCs w:val="22"/>
        </w:rPr>
      </w:pPr>
      <w:r>
        <w:rPr>
          <w:rFonts w:ascii="Arial" w:hAnsi="Arial" w:cs="Arial"/>
          <w:b/>
          <w:bCs/>
          <w:sz w:val="22"/>
          <w:szCs w:val="22"/>
        </w:rPr>
        <w:t>FUNDAMENTOS DE DERECHO</w:t>
      </w:r>
    </w:p>
    <w:p w:rsidR="00416BEA" w:rsidRDefault="00416BEA" w:rsidP="00416BEA">
      <w:pPr>
        <w:pStyle w:val="NormalWeb"/>
        <w:spacing w:before="0" w:beforeAutospacing="0" w:after="0" w:line="240" w:lineRule="auto"/>
        <w:ind w:firstLine="567"/>
        <w:jc w:val="both"/>
        <w:rPr>
          <w:rFonts w:ascii="Arial" w:hAnsi="Arial" w:cs="Arial"/>
          <w:sz w:val="22"/>
          <w:szCs w:val="22"/>
        </w:rPr>
      </w:pPr>
    </w:p>
    <w:p w:rsidR="00416BEA" w:rsidRDefault="00416BEA" w:rsidP="00416BEA">
      <w:pPr>
        <w:pStyle w:val="NormalWeb"/>
        <w:spacing w:before="0" w:beforeAutospacing="0" w:after="0" w:line="240" w:lineRule="auto"/>
        <w:ind w:firstLine="567"/>
        <w:jc w:val="both"/>
        <w:rPr>
          <w:rFonts w:ascii="Arial" w:hAnsi="Arial" w:cs="Arial"/>
          <w:sz w:val="22"/>
          <w:szCs w:val="22"/>
        </w:rPr>
      </w:pPr>
      <w:r>
        <w:rPr>
          <w:rFonts w:ascii="Arial" w:hAnsi="Arial" w:cs="Arial"/>
          <w:sz w:val="22"/>
          <w:szCs w:val="22"/>
          <w:u w:val="single"/>
        </w:rPr>
        <w:t>PRIMERO.-</w:t>
      </w:r>
      <w:r>
        <w:rPr>
          <w:rFonts w:ascii="Arial" w:hAnsi="Arial" w:cs="Arial"/>
          <w:sz w:val="22"/>
          <w:szCs w:val="22"/>
        </w:rPr>
        <w:t xml:space="preserve"> La Ley 39/2015, de 1 de octubre, del Procedimiento Administrativo común de las Administraciones Públicas recoge los principios a los que las Administraciones Públicas han de ajustar el ejercicio de la iniciativa legislativa y la potestad reglamentaria. Así, en su artículo 129 establece que “las Administraciones Públicas actuarán de acuerdo con los principios de necesidad, eficacia, proporcionalidad, seguridad jurídica, transparencia y eficiencia”.</w:t>
      </w:r>
    </w:p>
    <w:p w:rsidR="00416BEA" w:rsidRDefault="00416BEA" w:rsidP="00416BEA">
      <w:pPr>
        <w:pStyle w:val="NormalWeb"/>
        <w:spacing w:before="0" w:beforeAutospacing="0" w:after="0" w:line="240" w:lineRule="auto"/>
        <w:ind w:firstLine="567"/>
        <w:jc w:val="both"/>
        <w:rPr>
          <w:rFonts w:ascii="Arial" w:hAnsi="Arial" w:cs="Arial"/>
          <w:sz w:val="22"/>
          <w:szCs w:val="22"/>
        </w:rPr>
      </w:pPr>
      <w:r>
        <w:rPr>
          <w:rFonts w:ascii="Arial" w:hAnsi="Arial" w:cs="Arial"/>
          <w:sz w:val="22"/>
          <w:szCs w:val="22"/>
        </w:rPr>
        <w:t>En este sentido, en aras de una mayor seguridad jurídica y la predictibilidad del ordenamiento, el artículo 132 de la citada norma establece:</w:t>
      </w:r>
    </w:p>
    <w:p w:rsidR="00416BEA" w:rsidRDefault="00416BEA" w:rsidP="00416BEA">
      <w:pPr>
        <w:pStyle w:val="NormalWeb"/>
        <w:spacing w:before="0" w:beforeAutospacing="0" w:after="0" w:line="240" w:lineRule="auto"/>
        <w:ind w:firstLine="567"/>
        <w:jc w:val="both"/>
        <w:rPr>
          <w:rFonts w:ascii="Arial" w:hAnsi="Arial" w:cs="Arial"/>
          <w:sz w:val="22"/>
          <w:szCs w:val="22"/>
        </w:rPr>
      </w:pPr>
      <w:r>
        <w:rPr>
          <w:rFonts w:ascii="Arial" w:hAnsi="Arial" w:cs="Arial"/>
          <w:sz w:val="22"/>
          <w:szCs w:val="22"/>
        </w:rPr>
        <w:t>“1. Anualmente, las Administraciones Públicas harán público un Plan Normativo que contendrá las iniciativas legales o reglamentarias que vayan a ser elevadas para su aprobación en el año siguientes.</w:t>
      </w:r>
    </w:p>
    <w:p w:rsidR="00416BEA" w:rsidRDefault="00416BEA" w:rsidP="00416BEA">
      <w:pPr>
        <w:pStyle w:val="NormalWeb"/>
        <w:spacing w:before="0" w:beforeAutospacing="0" w:after="0" w:line="240" w:lineRule="auto"/>
        <w:ind w:firstLine="567"/>
        <w:jc w:val="both"/>
        <w:rPr>
          <w:rFonts w:ascii="Arial" w:hAnsi="Arial" w:cs="Arial"/>
          <w:sz w:val="22"/>
          <w:szCs w:val="22"/>
        </w:rPr>
      </w:pPr>
      <w:r>
        <w:rPr>
          <w:rFonts w:ascii="Arial" w:hAnsi="Arial" w:cs="Arial"/>
          <w:sz w:val="22"/>
          <w:szCs w:val="22"/>
        </w:rPr>
        <w:t>2. Una vez aprobado, el Plan Anual Normativo se publicarán en el Portal de la Transparencia de la Administración Pública correspondiente”.</w:t>
      </w:r>
    </w:p>
    <w:p w:rsidR="00416BEA" w:rsidRDefault="00416BEA" w:rsidP="00416BEA">
      <w:pPr>
        <w:pStyle w:val="NormalWeb"/>
        <w:spacing w:before="0" w:beforeAutospacing="0" w:after="0" w:line="240" w:lineRule="auto"/>
        <w:ind w:firstLine="567"/>
        <w:jc w:val="both"/>
        <w:rPr>
          <w:rFonts w:ascii="Arial" w:hAnsi="Arial" w:cs="Arial"/>
          <w:sz w:val="22"/>
          <w:szCs w:val="22"/>
        </w:rPr>
      </w:pPr>
      <w:r>
        <w:rPr>
          <w:rFonts w:ascii="Arial" w:hAnsi="Arial" w:cs="Arial"/>
          <w:sz w:val="22"/>
          <w:szCs w:val="22"/>
        </w:rPr>
        <w:t>Por tanto, en cumplimiento de los citados principios y preceptos jurídicos, el Ayuntamiento de Los Realejos, debe elaborar un plan anual normativo erigiéndose como un instrumento de planificación de las iniciativas reglamentarias que previsiblemente, en cuanto a número y denominación, van a ser elevadas para su aprobación definitiva por el Pleno del Ayuntamiento, titular de la potestad normativa, en cada año natural.</w:t>
      </w:r>
    </w:p>
    <w:p w:rsidR="00416BEA" w:rsidRDefault="00416BEA" w:rsidP="00416BEA">
      <w:pPr>
        <w:pStyle w:val="NormalWeb"/>
        <w:spacing w:before="0" w:beforeAutospacing="0" w:after="0" w:line="240" w:lineRule="auto"/>
        <w:ind w:firstLine="567"/>
        <w:jc w:val="both"/>
        <w:rPr>
          <w:rFonts w:ascii="Arial" w:hAnsi="Arial" w:cs="Arial"/>
          <w:sz w:val="22"/>
          <w:szCs w:val="22"/>
        </w:rPr>
      </w:pPr>
    </w:p>
    <w:p w:rsidR="00416BEA" w:rsidRDefault="00416BEA" w:rsidP="00416BEA">
      <w:pPr>
        <w:pStyle w:val="NormalWeb"/>
        <w:spacing w:before="0" w:beforeAutospacing="0" w:after="0" w:line="240" w:lineRule="auto"/>
        <w:ind w:firstLine="567"/>
        <w:jc w:val="both"/>
        <w:rPr>
          <w:rFonts w:ascii="Arial" w:hAnsi="Arial" w:cs="Arial"/>
          <w:sz w:val="22"/>
          <w:szCs w:val="22"/>
        </w:rPr>
      </w:pPr>
      <w:r>
        <w:rPr>
          <w:rFonts w:ascii="Arial" w:hAnsi="Arial" w:cs="Arial"/>
          <w:sz w:val="22"/>
          <w:szCs w:val="22"/>
        </w:rPr>
        <w:t>Por su parte, el </w:t>
      </w:r>
      <w:hyperlink r:id="rId8" w:anchor="I834');" w:tgtFrame="_top" w:history="1">
        <w:r>
          <w:rPr>
            <w:rStyle w:val="Hipervnculo"/>
            <w:rFonts w:ascii="Arial" w:hAnsi="Arial" w:cs="Arial"/>
            <w:sz w:val="22"/>
            <w:szCs w:val="22"/>
          </w:rPr>
          <w:t>artículo 4.1 a) de la Ley 7/1985, de 2 de abril, reguladora de las Bases del Régimen Local</w:t>
        </w:r>
      </w:hyperlink>
      <w:r>
        <w:rPr>
          <w:rFonts w:ascii="Arial" w:hAnsi="Arial" w:cs="Arial"/>
          <w:sz w:val="22"/>
          <w:szCs w:val="22"/>
        </w:rPr>
        <w:t> atribuye a los municipios en su calidad de Administraciones públicas de carácter territorial, y dentro de la esfera de sus competencias, las potestades reglamentaria y de auto organización.</w:t>
      </w:r>
    </w:p>
    <w:p w:rsidR="00416BEA" w:rsidRDefault="00416BEA" w:rsidP="00416BEA">
      <w:pPr>
        <w:pStyle w:val="NormalWeb"/>
        <w:spacing w:before="0" w:beforeAutospacing="0" w:after="0" w:line="240" w:lineRule="auto"/>
        <w:ind w:firstLine="567"/>
        <w:jc w:val="both"/>
        <w:rPr>
          <w:rFonts w:ascii="Arial" w:hAnsi="Arial" w:cs="Arial"/>
          <w:sz w:val="22"/>
          <w:szCs w:val="22"/>
        </w:rPr>
      </w:pPr>
    </w:p>
    <w:p w:rsidR="00416BEA" w:rsidRDefault="00416BEA" w:rsidP="00416BEA">
      <w:pPr>
        <w:pStyle w:val="NormalWeb"/>
        <w:spacing w:before="0" w:beforeAutospacing="0" w:after="0" w:line="240" w:lineRule="auto"/>
        <w:ind w:firstLine="567"/>
        <w:jc w:val="both"/>
        <w:rPr>
          <w:rFonts w:ascii="Arial" w:hAnsi="Arial" w:cs="Arial"/>
          <w:sz w:val="22"/>
          <w:szCs w:val="22"/>
        </w:rPr>
      </w:pPr>
      <w:r>
        <w:rPr>
          <w:rFonts w:ascii="Arial" w:hAnsi="Arial" w:cs="Arial"/>
          <w:sz w:val="22"/>
          <w:szCs w:val="22"/>
          <w:u w:val="single"/>
        </w:rPr>
        <w:t>SEGUNDO.-</w:t>
      </w:r>
      <w:r>
        <w:rPr>
          <w:rFonts w:ascii="Arial" w:hAnsi="Arial" w:cs="Arial"/>
          <w:sz w:val="22"/>
          <w:szCs w:val="22"/>
        </w:rPr>
        <w:t xml:space="preserve"> El objetivo estratégico de esta nueva planificación normativa en la esfera local es aumentar la transparencia, reforzar la seguridad jurídica, hacer predecible el ordenamiento jurídico local y poner en valor la normativa municipal, ordenanzas y reglamentos municipales, como instrumento de modernización de la Administración y de servicio al ciudadano.</w:t>
      </w:r>
    </w:p>
    <w:p w:rsidR="00416BEA" w:rsidRDefault="00416BEA" w:rsidP="00416BEA">
      <w:pPr>
        <w:pStyle w:val="NormalWeb"/>
        <w:spacing w:before="0" w:beforeAutospacing="0" w:after="0" w:line="240" w:lineRule="auto"/>
        <w:ind w:firstLine="567"/>
        <w:jc w:val="both"/>
        <w:rPr>
          <w:rFonts w:ascii="Arial" w:hAnsi="Arial" w:cs="Arial"/>
          <w:sz w:val="22"/>
          <w:szCs w:val="22"/>
        </w:rPr>
      </w:pPr>
      <w:bookmarkStart w:id="0" w:name="_GoBack1"/>
      <w:bookmarkEnd w:id="0"/>
    </w:p>
    <w:p w:rsidR="00416BEA" w:rsidRDefault="00416BEA" w:rsidP="00416BEA">
      <w:pPr>
        <w:pStyle w:val="NormalWeb"/>
        <w:spacing w:before="0" w:beforeAutospacing="0" w:after="0" w:line="240" w:lineRule="auto"/>
        <w:ind w:firstLine="567"/>
        <w:jc w:val="both"/>
        <w:rPr>
          <w:rFonts w:ascii="Arial" w:hAnsi="Arial" w:cs="Arial"/>
          <w:sz w:val="22"/>
          <w:szCs w:val="22"/>
        </w:rPr>
      </w:pPr>
      <w:r>
        <w:rPr>
          <w:rFonts w:ascii="Arial" w:hAnsi="Arial" w:cs="Arial"/>
          <w:sz w:val="22"/>
          <w:szCs w:val="22"/>
          <w:u w:val="single"/>
        </w:rPr>
        <w:t>TERCERO.-</w:t>
      </w:r>
      <w:r>
        <w:rPr>
          <w:rFonts w:ascii="Arial" w:hAnsi="Arial" w:cs="Arial"/>
          <w:sz w:val="22"/>
          <w:szCs w:val="22"/>
        </w:rPr>
        <w:t xml:space="preserve"> En cuanto al órgano competente para la aprobación del plan anual normativo, se considera dentro de las competencias de la Alcaldía Presidencia recogidas en el artículo 21 de la Ley 7/1985, reguladora de las Bases de Régimen Local, con la Cláusula residual de la Dirección del Gobierno y de la Administración Municipal.</w:t>
      </w:r>
    </w:p>
    <w:p w:rsidR="00416BEA" w:rsidRDefault="00416BEA" w:rsidP="00416BEA">
      <w:pPr>
        <w:pStyle w:val="NormalWeb"/>
        <w:spacing w:before="0" w:beforeAutospacing="0" w:after="0" w:line="240" w:lineRule="auto"/>
        <w:ind w:firstLine="567"/>
        <w:jc w:val="both"/>
        <w:rPr>
          <w:rFonts w:ascii="Arial" w:hAnsi="Arial" w:cs="Arial"/>
          <w:sz w:val="22"/>
          <w:szCs w:val="22"/>
        </w:rPr>
      </w:pPr>
    </w:p>
    <w:p w:rsidR="00416BEA" w:rsidRDefault="00416BEA" w:rsidP="00416BEA">
      <w:pPr>
        <w:pStyle w:val="NormalWeb"/>
        <w:spacing w:before="0" w:beforeAutospacing="0" w:after="0" w:line="240" w:lineRule="auto"/>
        <w:ind w:firstLine="567"/>
        <w:jc w:val="both"/>
        <w:rPr>
          <w:rFonts w:ascii="Arial" w:hAnsi="Arial" w:cs="Arial"/>
          <w:sz w:val="22"/>
          <w:szCs w:val="22"/>
        </w:rPr>
      </w:pPr>
      <w:r>
        <w:rPr>
          <w:rFonts w:ascii="Arial" w:hAnsi="Arial" w:cs="Arial"/>
          <w:sz w:val="22"/>
          <w:szCs w:val="22"/>
        </w:rPr>
        <w:t xml:space="preserve">Por todo lo expuesto anteriormente se considera a la Alcaldía Presidencia para la adopción del siguiente </w:t>
      </w:r>
      <w:r>
        <w:rPr>
          <w:rFonts w:ascii="Arial" w:hAnsi="Arial" w:cs="Arial"/>
          <w:b/>
          <w:bCs/>
          <w:sz w:val="22"/>
          <w:szCs w:val="22"/>
        </w:rPr>
        <w:t>ACUERDO</w:t>
      </w:r>
      <w:r>
        <w:rPr>
          <w:rFonts w:ascii="Arial" w:hAnsi="Arial" w:cs="Arial"/>
          <w:sz w:val="22"/>
          <w:szCs w:val="22"/>
        </w:rPr>
        <w:t>:</w:t>
      </w:r>
    </w:p>
    <w:p w:rsidR="00416BEA" w:rsidRDefault="00416BEA" w:rsidP="00416BEA">
      <w:pPr>
        <w:pStyle w:val="NormalWeb"/>
        <w:spacing w:before="0" w:beforeAutospacing="0" w:after="0" w:line="240" w:lineRule="auto"/>
        <w:ind w:firstLine="567"/>
        <w:jc w:val="both"/>
        <w:rPr>
          <w:rFonts w:ascii="Arial" w:hAnsi="Arial" w:cs="Arial"/>
          <w:sz w:val="22"/>
          <w:szCs w:val="22"/>
        </w:rPr>
      </w:pPr>
    </w:p>
    <w:p w:rsidR="00416BEA" w:rsidRDefault="00416BEA" w:rsidP="00416BEA">
      <w:pPr>
        <w:pStyle w:val="NormalWeb"/>
        <w:spacing w:before="0" w:beforeAutospacing="0" w:after="0" w:line="240" w:lineRule="auto"/>
        <w:ind w:firstLine="567"/>
        <w:jc w:val="both"/>
        <w:rPr>
          <w:rFonts w:ascii="Arial" w:hAnsi="Arial" w:cs="Arial"/>
          <w:sz w:val="22"/>
          <w:szCs w:val="22"/>
        </w:rPr>
      </w:pPr>
      <w:r>
        <w:rPr>
          <w:rFonts w:ascii="Arial" w:hAnsi="Arial" w:cs="Arial"/>
          <w:b/>
          <w:sz w:val="22"/>
          <w:szCs w:val="22"/>
        </w:rPr>
        <w:t>PRIMERO</w:t>
      </w:r>
      <w:r>
        <w:rPr>
          <w:rFonts w:ascii="Arial" w:hAnsi="Arial" w:cs="Arial"/>
          <w:sz w:val="22"/>
          <w:szCs w:val="22"/>
        </w:rPr>
        <w:t>.- Aprobación de</w:t>
      </w:r>
      <w:r w:rsidR="00D42EB3">
        <w:rPr>
          <w:rFonts w:ascii="Arial" w:hAnsi="Arial" w:cs="Arial"/>
          <w:sz w:val="22"/>
          <w:szCs w:val="22"/>
        </w:rPr>
        <w:t>l Plan Anual Normativo para 2021</w:t>
      </w:r>
      <w:r>
        <w:rPr>
          <w:rFonts w:ascii="Arial" w:hAnsi="Arial" w:cs="Arial"/>
          <w:sz w:val="22"/>
          <w:szCs w:val="22"/>
        </w:rPr>
        <w:t>, que contiene las siguientes propuestas:</w:t>
      </w:r>
    </w:p>
    <w:p w:rsidR="00416BEA" w:rsidRDefault="00416BEA" w:rsidP="00416BEA">
      <w:pPr>
        <w:pStyle w:val="NormalWeb"/>
        <w:spacing w:before="0" w:beforeAutospacing="0" w:after="0" w:line="240" w:lineRule="auto"/>
        <w:ind w:firstLine="567"/>
        <w:jc w:val="both"/>
        <w:rPr>
          <w:rFonts w:ascii="Arial" w:hAnsi="Arial" w:cs="Arial"/>
          <w:sz w:val="22"/>
          <w:szCs w:val="22"/>
        </w:rPr>
      </w:pPr>
    </w:p>
    <w:p w:rsidR="00416BEA" w:rsidRDefault="00D42EB3" w:rsidP="00416BEA">
      <w:pPr>
        <w:pStyle w:val="NormalWeb"/>
        <w:numPr>
          <w:ilvl w:val="0"/>
          <w:numId w:val="3"/>
        </w:numPr>
        <w:spacing w:before="0" w:beforeAutospacing="0" w:after="0" w:line="240" w:lineRule="auto"/>
        <w:ind w:left="567" w:firstLine="0"/>
        <w:jc w:val="both"/>
        <w:rPr>
          <w:rFonts w:ascii="Arial" w:hAnsi="Arial" w:cs="Arial"/>
          <w:sz w:val="22"/>
          <w:szCs w:val="22"/>
        </w:rPr>
      </w:pPr>
      <w:r>
        <w:rPr>
          <w:rFonts w:ascii="Arial" w:hAnsi="Arial" w:cs="Arial"/>
          <w:sz w:val="22"/>
          <w:szCs w:val="22"/>
        </w:rPr>
        <w:t>Reglamento del Observatorio de Seguridad y Emergencias</w:t>
      </w:r>
    </w:p>
    <w:p w:rsidR="00D42EB3" w:rsidRDefault="00D42EB3" w:rsidP="00416BEA">
      <w:pPr>
        <w:pStyle w:val="NormalWeb"/>
        <w:numPr>
          <w:ilvl w:val="0"/>
          <w:numId w:val="3"/>
        </w:numPr>
        <w:spacing w:before="0" w:beforeAutospacing="0" w:after="0" w:line="240" w:lineRule="auto"/>
        <w:ind w:left="567" w:firstLine="0"/>
        <w:jc w:val="both"/>
        <w:rPr>
          <w:rFonts w:ascii="Arial" w:hAnsi="Arial" w:cs="Arial"/>
          <w:sz w:val="22"/>
          <w:szCs w:val="22"/>
        </w:rPr>
      </w:pPr>
      <w:r>
        <w:rPr>
          <w:rFonts w:ascii="Arial" w:hAnsi="Arial" w:cs="Arial"/>
          <w:sz w:val="22"/>
          <w:szCs w:val="22"/>
        </w:rPr>
        <w:t>Reglamento de la Junta Local de Seguridad</w:t>
      </w:r>
    </w:p>
    <w:p w:rsidR="00D42EB3" w:rsidRDefault="00D42EB3" w:rsidP="00416BEA">
      <w:pPr>
        <w:pStyle w:val="NormalWeb"/>
        <w:numPr>
          <w:ilvl w:val="0"/>
          <w:numId w:val="3"/>
        </w:numPr>
        <w:spacing w:before="0" w:beforeAutospacing="0" w:after="0" w:line="240" w:lineRule="auto"/>
        <w:ind w:left="567" w:firstLine="0"/>
        <w:jc w:val="both"/>
        <w:rPr>
          <w:rFonts w:ascii="Arial" w:hAnsi="Arial" w:cs="Arial"/>
          <w:sz w:val="22"/>
          <w:szCs w:val="22"/>
        </w:rPr>
      </w:pPr>
      <w:r>
        <w:rPr>
          <w:rFonts w:ascii="Arial" w:hAnsi="Arial" w:cs="Arial"/>
          <w:sz w:val="22"/>
          <w:szCs w:val="22"/>
        </w:rPr>
        <w:t>Ordenanza Reguladora del Portal de Transparencia</w:t>
      </w:r>
    </w:p>
    <w:p w:rsidR="00D42EB3" w:rsidRDefault="00D42EB3" w:rsidP="00416BEA">
      <w:pPr>
        <w:pStyle w:val="NormalWeb"/>
        <w:numPr>
          <w:ilvl w:val="0"/>
          <w:numId w:val="3"/>
        </w:numPr>
        <w:spacing w:before="0" w:beforeAutospacing="0" w:after="0" w:line="240" w:lineRule="auto"/>
        <w:ind w:left="567" w:firstLine="0"/>
        <w:jc w:val="both"/>
        <w:rPr>
          <w:rFonts w:ascii="Arial" w:hAnsi="Arial" w:cs="Arial"/>
          <w:sz w:val="22"/>
          <w:szCs w:val="22"/>
        </w:rPr>
      </w:pPr>
      <w:r>
        <w:rPr>
          <w:rFonts w:ascii="Arial" w:hAnsi="Arial" w:cs="Arial"/>
          <w:sz w:val="22"/>
          <w:szCs w:val="22"/>
        </w:rPr>
        <w:t>Reglamento Municipal del Servicio de cementerios</w:t>
      </w:r>
    </w:p>
    <w:p w:rsidR="00416BEA" w:rsidRPr="00630BAF" w:rsidRDefault="00D42EB3" w:rsidP="00630BAF">
      <w:pPr>
        <w:pStyle w:val="NormalWeb"/>
        <w:numPr>
          <w:ilvl w:val="0"/>
          <w:numId w:val="3"/>
        </w:numPr>
        <w:spacing w:before="0" w:beforeAutospacing="0" w:after="0" w:line="240" w:lineRule="auto"/>
        <w:ind w:left="567" w:firstLine="0"/>
        <w:jc w:val="both"/>
        <w:rPr>
          <w:rFonts w:ascii="Arial" w:hAnsi="Arial" w:cs="Arial"/>
          <w:sz w:val="22"/>
          <w:szCs w:val="22"/>
        </w:rPr>
      </w:pPr>
      <w:r w:rsidRPr="00630BAF">
        <w:rPr>
          <w:rFonts w:ascii="Arial" w:hAnsi="Arial" w:cs="Arial"/>
          <w:sz w:val="22"/>
          <w:szCs w:val="22"/>
        </w:rPr>
        <w:t>Ordenanza reguladora del servicio del taxi</w:t>
      </w:r>
      <w:r w:rsidR="00416BEA" w:rsidRPr="00630BAF">
        <w:rPr>
          <w:rFonts w:ascii="Arial" w:hAnsi="Arial" w:cs="Arial"/>
          <w:sz w:val="22"/>
          <w:szCs w:val="22"/>
        </w:rPr>
        <w:t>.</w:t>
      </w:r>
      <w:bookmarkStart w:id="1" w:name="_GoBack"/>
      <w:bookmarkEnd w:id="1"/>
    </w:p>
    <w:p w:rsidR="00416BEA" w:rsidRDefault="00416BEA" w:rsidP="00416BEA">
      <w:pPr>
        <w:pStyle w:val="NormalWeb"/>
        <w:spacing w:before="0" w:beforeAutospacing="0" w:after="0" w:line="240" w:lineRule="auto"/>
        <w:ind w:firstLine="567"/>
        <w:jc w:val="both"/>
        <w:rPr>
          <w:rFonts w:ascii="Arial" w:hAnsi="Arial" w:cs="Arial"/>
          <w:sz w:val="22"/>
          <w:szCs w:val="22"/>
        </w:rPr>
      </w:pPr>
    </w:p>
    <w:p w:rsidR="00416BEA" w:rsidRDefault="00416BEA" w:rsidP="00416BEA">
      <w:pPr>
        <w:pStyle w:val="NormalWeb"/>
        <w:spacing w:before="0" w:beforeAutospacing="0" w:after="0" w:line="240" w:lineRule="auto"/>
        <w:ind w:firstLine="567"/>
        <w:jc w:val="both"/>
        <w:rPr>
          <w:rFonts w:ascii="Arial" w:hAnsi="Arial" w:cs="Arial"/>
          <w:sz w:val="22"/>
          <w:szCs w:val="22"/>
        </w:rPr>
      </w:pPr>
      <w:r>
        <w:rPr>
          <w:rFonts w:ascii="Arial" w:hAnsi="Arial" w:cs="Arial"/>
          <w:b/>
          <w:sz w:val="22"/>
          <w:szCs w:val="22"/>
        </w:rPr>
        <w:t>SEGUNDO</w:t>
      </w:r>
      <w:r>
        <w:rPr>
          <w:rFonts w:ascii="Arial" w:hAnsi="Arial" w:cs="Arial"/>
          <w:sz w:val="22"/>
          <w:szCs w:val="22"/>
        </w:rPr>
        <w:t>.- Publicación de</w:t>
      </w:r>
      <w:r w:rsidR="00D42EB3">
        <w:rPr>
          <w:rFonts w:ascii="Arial" w:hAnsi="Arial" w:cs="Arial"/>
          <w:sz w:val="22"/>
          <w:szCs w:val="22"/>
        </w:rPr>
        <w:t>l Plan Anual Normativo para 2021</w:t>
      </w:r>
      <w:r>
        <w:rPr>
          <w:rFonts w:ascii="Arial" w:hAnsi="Arial" w:cs="Arial"/>
          <w:sz w:val="22"/>
          <w:szCs w:val="22"/>
        </w:rPr>
        <w:t xml:space="preserve"> en el Portal de Transparencia para su general conocimiento.</w:t>
      </w:r>
    </w:p>
    <w:p w:rsidR="00416BEA" w:rsidRDefault="00416BEA" w:rsidP="00416BEA">
      <w:pPr>
        <w:pStyle w:val="NormalWeb"/>
        <w:spacing w:before="0" w:beforeAutospacing="0" w:after="0" w:line="240" w:lineRule="auto"/>
        <w:ind w:firstLine="567"/>
        <w:jc w:val="both"/>
        <w:rPr>
          <w:rFonts w:ascii="Arial" w:hAnsi="Arial" w:cs="Arial"/>
          <w:sz w:val="22"/>
          <w:szCs w:val="22"/>
        </w:rPr>
      </w:pPr>
    </w:p>
    <w:p w:rsidR="008176B3" w:rsidRDefault="008176B3" w:rsidP="008176B3">
      <w:pPr>
        <w:tabs>
          <w:tab w:val="left" w:pos="0"/>
          <w:tab w:val="left" w:pos="2160"/>
        </w:tabs>
        <w:suppressAutoHyphens w:val="0"/>
        <w:spacing w:after="160" w:line="259" w:lineRule="auto"/>
        <w:ind w:right="-132"/>
        <w:jc w:val="both"/>
        <w:rPr>
          <w:rFonts w:ascii="Arial" w:eastAsia="Cambria" w:hAnsi="Arial" w:cs="Arial"/>
          <w:bCs/>
          <w:i/>
          <w:color w:val="2F2F2F"/>
        </w:rPr>
      </w:pPr>
      <w:r w:rsidRPr="008176B3">
        <w:rPr>
          <w:rFonts w:ascii="Arial" w:eastAsia="Cambria" w:hAnsi="Arial" w:cs="Arial"/>
          <w:bCs/>
          <w:i/>
          <w:color w:val="2F2F2F"/>
        </w:rPr>
        <w:t>Por la Secretaría se toma razón para su transcripción en el Libro de Resoluciones, a los solos efectos de garantizar su integridad y autenticidad (art. 3.2 RD 128/2018).</w:t>
      </w:r>
    </w:p>
    <w:p w:rsidR="008176B3" w:rsidRPr="008176B3" w:rsidRDefault="008176B3" w:rsidP="008176B3">
      <w:pPr>
        <w:tabs>
          <w:tab w:val="left" w:pos="0"/>
          <w:tab w:val="left" w:pos="2160"/>
        </w:tabs>
        <w:suppressAutoHyphens w:val="0"/>
        <w:spacing w:after="160" w:line="259" w:lineRule="auto"/>
        <w:ind w:right="-132"/>
        <w:jc w:val="both"/>
        <w:rPr>
          <w:rFonts w:ascii="Arial" w:eastAsia="Cambria" w:hAnsi="Arial" w:cs="Arial"/>
          <w:bCs/>
          <w:i/>
          <w:color w:val="2F2F2F"/>
        </w:rPr>
      </w:pPr>
    </w:p>
    <w:p w:rsidR="00FF0727" w:rsidRDefault="008176B3" w:rsidP="008176B3">
      <w:pPr>
        <w:ind w:firstLine="708"/>
        <w:jc w:val="center"/>
        <w:rPr>
          <w:rFonts w:ascii="Arial" w:hAnsi="Arial" w:cs="Arial"/>
        </w:rPr>
      </w:pPr>
      <w:r>
        <w:rPr>
          <w:rFonts w:ascii="Arial" w:hAnsi="Arial" w:cs="Arial"/>
        </w:rPr>
        <w:t>DOCUMENTO FIRMADO ELECTRÓNICMANETE.</w:t>
      </w:r>
    </w:p>
    <w:p w:rsidR="00FF0727" w:rsidRDefault="00630BAF">
      <w:pPr>
        <w:ind w:firstLine="567"/>
        <w:rPr>
          <w:rFonts w:ascii="Arial" w:hAnsi="Arial" w:cs="Arial"/>
          <w:sz w:val="18"/>
        </w:rPr>
      </w:pPr>
    </w:p>
    <w:sectPr w:rsidR="00FF0727">
      <w:headerReference w:type="even" r:id="rId9"/>
      <w:headerReference w:type="default" r:id="rId10"/>
      <w:footerReference w:type="even" r:id="rId11"/>
      <w:footerReference w:type="default" r:id="rId12"/>
      <w:headerReference w:type="first" r:id="rId13"/>
      <w:footerReference w:type="first" r:id="rId14"/>
      <w:pgSz w:w="11906" w:h="16838"/>
      <w:pgMar w:top="719" w:right="110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4B0" w:rsidRDefault="00526C4B">
      <w:r>
        <w:separator/>
      </w:r>
    </w:p>
  </w:endnote>
  <w:endnote w:type="continuationSeparator" w:id="0">
    <w:p w:rsidR="00CB64B0" w:rsidRDefault="00526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1DA" w:rsidRDefault="00630BA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1DA" w:rsidRDefault="00630BA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1DA" w:rsidRDefault="00630B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4B0" w:rsidRDefault="00526C4B">
      <w:r>
        <w:separator/>
      </w:r>
    </w:p>
  </w:footnote>
  <w:footnote w:type="continuationSeparator" w:id="0">
    <w:p w:rsidR="00CB64B0" w:rsidRDefault="00526C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1DA" w:rsidRDefault="00630BA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1DA" w:rsidRDefault="00630BA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31DA" w:rsidRDefault="00630BA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2" w15:restartNumberingAfterBreak="0">
    <w:nsid w:val="0B1A074F"/>
    <w:multiLevelType w:val="multilevel"/>
    <w:tmpl w:val="37FE6E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173"/>
    <w:rsid w:val="000A4F3E"/>
    <w:rsid w:val="00416BEA"/>
    <w:rsid w:val="004B004D"/>
    <w:rsid w:val="00526C4B"/>
    <w:rsid w:val="00630BAF"/>
    <w:rsid w:val="008176B3"/>
    <w:rsid w:val="00C42173"/>
    <w:rsid w:val="00CB64B0"/>
    <w:rsid w:val="00D42E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F4E5B57F-15C1-4D2E-8D3B-8E46E227F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uppressAutoHyphens/>
    </w:pPr>
    <w:rPr>
      <w:lang w:eastAsia="zh-CN"/>
    </w:rPr>
  </w:style>
  <w:style w:type="paragraph" w:styleId="Ttulo2">
    <w:name w:val="heading 2"/>
    <w:basedOn w:val="Normal"/>
    <w:next w:val="Normal"/>
    <w:qFormat/>
    <w:pPr>
      <w:keepNext/>
      <w:numPr>
        <w:ilvl w:val="1"/>
        <w:numId w:val="2"/>
      </w:numPr>
      <w:ind w:left="567" w:right="49" w:firstLine="567"/>
      <w:jc w:val="both"/>
      <w:outlineLvl w:val="1"/>
    </w:pPr>
    <w:rPr>
      <w:rFonts w:ascii="Arial" w:hAnsi="Arial" w:cs="Arial"/>
      <w:b/>
      <w:sz w:val="22"/>
    </w:rPr>
  </w:style>
  <w:style w:type="paragraph" w:styleId="Ttulo9">
    <w:name w:val="heading 9"/>
    <w:basedOn w:val="Normal"/>
    <w:next w:val="Normal"/>
    <w:qFormat/>
    <w:pPr>
      <w:keepNext/>
      <w:numPr>
        <w:ilvl w:val="8"/>
        <w:numId w:val="2"/>
      </w:numPr>
      <w:outlineLvl w:val="8"/>
    </w:pPr>
    <w:rPr>
      <w:rFonts w:ascii="Arial" w:hAnsi="Arial" w:cs="Arial"/>
      <w:b/>
      <w:color w:val="0000FF"/>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Fuentedeprrafopredeter1">
    <w:name w:val="Fuente de párrafo predeter.1"/>
  </w:style>
  <w:style w:type="character" w:customStyle="1" w:styleId="Ttulo2Car">
    <w:name w:val="Título 2 Car"/>
    <w:basedOn w:val="Fuentedeprrafopredeter1"/>
    <w:rPr>
      <w:rFonts w:ascii="Arial" w:eastAsia="Times New Roman" w:hAnsi="Arial" w:cs="Times New Roman"/>
      <w:b/>
      <w:sz w:val="22"/>
      <w:szCs w:val="20"/>
      <w:lang w:val="es-ES"/>
    </w:rPr>
  </w:style>
  <w:style w:type="character" w:customStyle="1" w:styleId="Ttulo9Car">
    <w:name w:val="Título 9 Car"/>
    <w:basedOn w:val="Fuentedeprrafopredeter1"/>
    <w:rPr>
      <w:rFonts w:ascii="Arial" w:eastAsia="Times New Roman" w:hAnsi="Arial" w:cs="Times New Roman"/>
      <w:b/>
      <w:color w:val="0000FF"/>
      <w:sz w:val="22"/>
      <w:szCs w:val="20"/>
      <w:lang w:val="es-ES"/>
    </w:rPr>
  </w:style>
  <w:style w:type="character" w:customStyle="1" w:styleId="TextodecuerpoCar">
    <w:name w:val="Texto de cuerpo Car"/>
    <w:basedOn w:val="Fuentedeprrafopredeter1"/>
    <w:rPr>
      <w:rFonts w:ascii="Arial" w:eastAsia="Times New Roman" w:hAnsi="Arial" w:cs="Times New Roman"/>
      <w:sz w:val="20"/>
      <w:szCs w:val="20"/>
    </w:rPr>
  </w:style>
  <w:style w:type="character" w:customStyle="1" w:styleId="EncabezadoCar">
    <w:name w:val="Encabezado Car"/>
    <w:basedOn w:val="Fuentedeprrafopredeter1"/>
    <w:rPr>
      <w:rFonts w:ascii="Times New Roman" w:eastAsia="Times New Roman" w:hAnsi="Times New Roman" w:cs="Times New Roman"/>
      <w:sz w:val="20"/>
      <w:szCs w:val="20"/>
      <w:lang w:val="es-ES"/>
    </w:rPr>
  </w:style>
  <w:style w:type="character" w:customStyle="1" w:styleId="PiedepginaCar">
    <w:name w:val="Pie de página Car"/>
    <w:basedOn w:val="Fuentedeprrafopredeter1"/>
    <w:rPr>
      <w:rFonts w:ascii="Times New Roman" w:eastAsia="Times New Roman" w:hAnsi="Times New Roman" w:cs="Times New Roman"/>
      <w:sz w:val="20"/>
      <w:szCs w:val="20"/>
      <w:lang w:val="es-ES"/>
    </w:rPr>
  </w:style>
  <w:style w:type="character" w:styleId="nfasis">
    <w:name w:val="Emphasis"/>
    <w:basedOn w:val="Fuentedeprrafopredeter1"/>
    <w:qFormat/>
    <w:rPr>
      <w:i/>
      <w:iCs/>
    </w:rPr>
  </w:style>
  <w:style w:type="paragraph" w:customStyle="1" w:styleId="Encabezado1">
    <w:name w:val="Encabezado1"/>
    <w:basedOn w:val="Normal"/>
    <w:next w:val="Textoindependiente"/>
    <w:pPr>
      <w:keepNext/>
      <w:spacing w:before="240" w:after="120"/>
    </w:pPr>
    <w:rPr>
      <w:rFonts w:ascii="Liberation Sans" w:eastAsia="Microsoft YaHei" w:hAnsi="Liberation Sans" w:cs="Arial Unicode MS"/>
      <w:sz w:val="28"/>
      <w:szCs w:val="28"/>
    </w:rPr>
  </w:style>
  <w:style w:type="paragraph" w:styleId="Textoindependiente">
    <w:name w:val="Body Text"/>
    <w:basedOn w:val="Normal"/>
    <w:pPr>
      <w:jc w:val="both"/>
    </w:pPr>
    <w:rPr>
      <w:rFonts w:ascii="Arial" w:hAnsi="Arial" w:cs="Arial"/>
      <w:lang w:val="es-ES_tradnl"/>
    </w:rPr>
  </w:style>
  <w:style w:type="paragraph" w:styleId="Lista">
    <w:name w:val="List"/>
    <w:basedOn w:val="Textoindependiente"/>
    <w:rPr>
      <w:rFonts w:cs="Arial Unicode MS"/>
    </w:rPr>
  </w:style>
  <w:style w:type="paragraph" w:styleId="Descripcin">
    <w:name w:val="caption"/>
    <w:basedOn w:val="Normal"/>
    <w:qFormat/>
    <w:pPr>
      <w:suppressLineNumbers/>
      <w:spacing w:before="120" w:after="120"/>
    </w:pPr>
    <w:rPr>
      <w:rFonts w:cs="Arial Unicode MS"/>
      <w:i/>
      <w:iCs/>
      <w:sz w:val="24"/>
      <w:szCs w:val="24"/>
    </w:rPr>
  </w:style>
  <w:style w:type="paragraph" w:customStyle="1" w:styleId="ndice">
    <w:name w:val="Índice"/>
    <w:basedOn w:val="Normal"/>
    <w:pPr>
      <w:suppressLineNumbers/>
    </w:pPr>
    <w:rPr>
      <w:rFonts w:cs="Arial Unicode MS"/>
    </w:rPr>
  </w:style>
  <w:style w:type="paragraph" w:customStyle="1" w:styleId="Textodebloque1">
    <w:name w:val="Texto de bloque1"/>
    <w:basedOn w:val="Normal"/>
    <w:pPr>
      <w:ind w:left="567" w:right="49" w:firstLine="567"/>
      <w:jc w:val="both"/>
    </w:pPr>
    <w:rPr>
      <w:rFonts w:ascii="Arial" w:hAnsi="Arial" w:cs="Arial"/>
      <w:sz w:val="22"/>
    </w:rPr>
  </w:style>
  <w:style w:type="paragraph" w:styleId="Encabezado">
    <w:name w:val="header"/>
    <w:basedOn w:val="Normal"/>
  </w:style>
  <w:style w:type="paragraph" w:styleId="Prrafodelista">
    <w:name w:val="List Paragraph"/>
    <w:basedOn w:val="Normal"/>
    <w:qFormat/>
    <w:pPr>
      <w:ind w:left="720"/>
      <w:contextualSpacing/>
    </w:pPr>
  </w:style>
  <w:style w:type="paragraph" w:styleId="Piedepgina">
    <w:name w:val="footer"/>
    <w:basedOn w:val="Normal"/>
  </w:style>
  <w:style w:type="paragraph" w:styleId="Sangradetextonormal">
    <w:name w:val="Body Text Indent"/>
    <w:basedOn w:val="Normal"/>
    <w:pPr>
      <w:ind w:firstLine="360"/>
      <w:jc w:val="both"/>
    </w:pPr>
    <w:rPr>
      <w:sz w:val="24"/>
    </w:rPr>
  </w:style>
  <w:style w:type="paragraph" w:customStyle="1" w:styleId="Textoindependiente31">
    <w:name w:val="Texto independiente 31"/>
    <w:basedOn w:val="Normal"/>
    <w:pPr>
      <w:spacing w:after="120"/>
    </w:pPr>
    <w:rPr>
      <w:sz w:val="16"/>
      <w:szCs w:val="16"/>
    </w:rPr>
  </w:style>
  <w:style w:type="paragraph" w:customStyle="1" w:styleId="Mapadeldocumento1">
    <w:name w:val="Mapa del documento1"/>
    <w:basedOn w:val="Normal"/>
    <w:pPr>
      <w:shd w:val="clear" w:color="auto" w:fill="000080"/>
    </w:pPr>
    <w:rPr>
      <w:rFonts w:ascii="Tahoma" w:hAnsi="Tahoma" w:cs="Tahoma"/>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character" w:styleId="Hipervnculo">
    <w:name w:val="Hyperlink"/>
    <w:basedOn w:val="Fuentedeprrafopredeter"/>
    <w:uiPriority w:val="99"/>
    <w:semiHidden/>
    <w:unhideWhenUsed/>
    <w:rsid w:val="00416BEA"/>
    <w:rPr>
      <w:color w:val="0000FF"/>
      <w:u w:val="single"/>
    </w:rPr>
  </w:style>
  <w:style w:type="paragraph" w:styleId="NormalWeb">
    <w:name w:val="Normal (Web)"/>
    <w:basedOn w:val="Normal"/>
    <w:uiPriority w:val="99"/>
    <w:semiHidden/>
    <w:unhideWhenUsed/>
    <w:rsid w:val="00416BEA"/>
    <w:pPr>
      <w:suppressAutoHyphens w:val="0"/>
      <w:spacing w:before="100" w:beforeAutospacing="1" w:after="142" w:line="288" w:lineRule="auto"/>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Redirection('LE0000007636_Vigente.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650</Words>
  <Characters>3579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apple27</dc:creator>
  <cp:lastModifiedBy>Eduardo González González</cp:lastModifiedBy>
  <cp:revision>4</cp:revision>
  <cp:lastPrinted>1900-01-01T00:00:00Z</cp:lastPrinted>
  <dcterms:created xsi:type="dcterms:W3CDTF">2020-05-04T12:53:00Z</dcterms:created>
  <dcterms:modified xsi:type="dcterms:W3CDTF">2021-03-30T21:56:00Z</dcterms:modified>
</cp:coreProperties>
</file>