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A8E5" w14:textId="4F4B9FA7" w:rsidR="006D7DF7" w:rsidRDefault="006D7DF7">
      <w:pPr>
        <w:pStyle w:val="Textoindependiente"/>
        <w:rPr>
          <w:noProof/>
        </w:rPr>
      </w:pPr>
    </w:p>
    <w:p w14:paraId="78086E31" w14:textId="63090A6A" w:rsidR="00823832" w:rsidRDefault="00000000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3120" behindDoc="1" locked="0" layoutInCell="1" allowOverlap="1" wp14:anchorId="4CA0D0C9" wp14:editId="209C2396">
            <wp:simplePos x="0" y="0"/>
            <wp:positionH relativeFrom="page">
              <wp:posOffset>247650</wp:posOffset>
            </wp:positionH>
            <wp:positionV relativeFrom="page">
              <wp:posOffset>247651</wp:posOffset>
            </wp:positionV>
            <wp:extent cx="7302500" cy="3048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b="70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022" cy="3048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6784F80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008ECB87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0122AE6C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2A8A1770" w14:textId="7EEC764B" w:rsidR="00823832" w:rsidRDefault="00823832">
      <w:pPr>
        <w:pStyle w:val="Textoindependiente"/>
        <w:rPr>
          <w:rFonts w:ascii="Times New Roman"/>
          <w:sz w:val="20"/>
        </w:rPr>
      </w:pPr>
    </w:p>
    <w:p w14:paraId="0EB1FD7D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5D566EC6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57E499A0" w14:textId="7B7DDBC7" w:rsidR="00823832" w:rsidRDefault="00823832">
      <w:pPr>
        <w:pStyle w:val="Textoindependiente"/>
        <w:rPr>
          <w:rFonts w:ascii="Times New Roman"/>
          <w:sz w:val="20"/>
        </w:rPr>
      </w:pPr>
    </w:p>
    <w:p w14:paraId="77E682A9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612F910B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78DC3260" w14:textId="6428F4D0" w:rsidR="00823832" w:rsidRDefault="00823832">
      <w:pPr>
        <w:pStyle w:val="Textoindependiente"/>
        <w:rPr>
          <w:rFonts w:ascii="Times New Roman"/>
          <w:sz w:val="20"/>
        </w:rPr>
      </w:pPr>
    </w:p>
    <w:p w14:paraId="328595D8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49D25ACE" w14:textId="0AE35238" w:rsidR="00823832" w:rsidRDefault="00823832">
      <w:pPr>
        <w:pStyle w:val="Textoindependiente"/>
        <w:rPr>
          <w:rFonts w:ascii="Times New Roman"/>
          <w:sz w:val="20"/>
        </w:rPr>
      </w:pPr>
    </w:p>
    <w:p w14:paraId="25F27AC9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625D44B6" w14:textId="10CCD71F" w:rsidR="00823832" w:rsidRDefault="00823832">
      <w:pPr>
        <w:pStyle w:val="Textoindependiente"/>
        <w:rPr>
          <w:rFonts w:ascii="Times New Roman"/>
          <w:sz w:val="20"/>
        </w:rPr>
      </w:pPr>
    </w:p>
    <w:p w14:paraId="2F21F633" w14:textId="18D73638" w:rsidR="00823832" w:rsidRDefault="00823832">
      <w:pPr>
        <w:pStyle w:val="Textoindependiente"/>
        <w:rPr>
          <w:rFonts w:ascii="Times New Roman"/>
          <w:sz w:val="20"/>
        </w:rPr>
      </w:pPr>
    </w:p>
    <w:p w14:paraId="44EED493" w14:textId="2F887F13" w:rsidR="00823832" w:rsidRDefault="001716E3">
      <w:pPr>
        <w:pStyle w:val="Textoindependiente"/>
        <w:rPr>
          <w:rFonts w:ascii="Times New Roman"/>
          <w:sz w:val="20"/>
        </w:rPr>
      </w:pPr>
      <w:r>
        <w:rPr>
          <w:b/>
          <w:bCs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32900EE0" wp14:editId="16946BAB">
            <wp:simplePos x="0" y="0"/>
            <wp:positionH relativeFrom="column">
              <wp:posOffset>0</wp:posOffset>
            </wp:positionH>
            <wp:positionV relativeFrom="paragraph">
              <wp:posOffset>305435</wp:posOffset>
            </wp:positionV>
            <wp:extent cx="3143250" cy="4197350"/>
            <wp:effectExtent l="0" t="0" r="0" b="0"/>
            <wp:wrapSquare wrapText="bothSides"/>
            <wp:docPr id="11016910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FD010" w14:textId="42244C01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614368C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974D9E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AC3CD3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AC9F5ED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A1C4B2A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30D0E4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3483B5F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38675D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B2FA327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6C8717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D3D328A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F4CA70D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A3847F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B333AD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37EA70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4682F4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C292DE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6EB0E23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80F4772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58A7E76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14A76F7" w14:textId="77777777" w:rsidR="00851272" w:rsidRDefault="00851272" w:rsidP="00851272">
      <w:pPr>
        <w:spacing w:before="72" w:line="208" w:lineRule="auto"/>
        <w:ind w:right="523" w:hanging="709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843F689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71351D3" w14:textId="77777777" w:rsidR="001716E3" w:rsidRDefault="001716E3" w:rsidP="00851272">
      <w:pPr>
        <w:ind w:left="-567"/>
        <w:jc w:val="both"/>
        <w:rPr>
          <w:b/>
          <w:bCs/>
          <w:color w:val="4F81BD" w:themeColor="accent1"/>
          <w:sz w:val="36"/>
          <w:szCs w:val="36"/>
        </w:rPr>
      </w:pPr>
      <w:r w:rsidRPr="001716E3">
        <w:rPr>
          <w:b/>
          <w:bCs/>
          <w:color w:val="4F81BD" w:themeColor="accent1"/>
          <w:sz w:val="36"/>
          <w:szCs w:val="36"/>
        </w:rPr>
        <w:t>David Rodríguez García</w:t>
      </w:r>
    </w:p>
    <w:p w14:paraId="6EABC871" w14:textId="5B852CA8" w:rsidR="00851272" w:rsidRDefault="001716E3" w:rsidP="00851272">
      <w:pPr>
        <w:ind w:left="-567"/>
        <w:jc w:val="both"/>
        <w:rPr>
          <w:b/>
          <w:bCs/>
          <w:color w:val="4F81BD" w:themeColor="accent1"/>
          <w:sz w:val="28"/>
          <w:szCs w:val="28"/>
        </w:rPr>
      </w:pPr>
      <w:r w:rsidRPr="001716E3">
        <w:rPr>
          <w:b/>
          <w:bCs/>
          <w:color w:val="4F81BD" w:themeColor="accent1"/>
          <w:sz w:val="28"/>
          <w:szCs w:val="28"/>
        </w:rPr>
        <w:t>Concejal del Partido Socialista</w:t>
      </w:r>
    </w:p>
    <w:p w14:paraId="6AAF84AD" w14:textId="77777777" w:rsidR="001716E3" w:rsidRDefault="001716E3" w:rsidP="00851272">
      <w:pPr>
        <w:ind w:left="-567"/>
        <w:jc w:val="both"/>
        <w:rPr>
          <w:color w:val="231F20"/>
          <w:sz w:val="28"/>
          <w:szCs w:val="28"/>
        </w:rPr>
      </w:pPr>
    </w:p>
    <w:p w14:paraId="0F18A415" w14:textId="7989D2C0" w:rsidR="00916472" w:rsidRPr="00916472" w:rsidRDefault="00916472" w:rsidP="00916472">
      <w:pPr>
        <w:ind w:left="-567"/>
        <w:jc w:val="both"/>
        <w:rPr>
          <w:color w:val="231F20"/>
          <w:sz w:val="28"/>
          <w:szCs w:val="28"/>
        </w:rPr>
      </w:pPr>
      <w:r w:rsidRPr="00916472">
        <w:rPr>
          <w:color w:val="231F20"/>
          <w:sz w:val="28"/>
          <w:szCs w:val="28"/>
        </w:rPr>
        <w:t>Nació el 9 de julio de 1987 en Los Realejos. Cursó estudios de Derecho en la Universidad de La Laguna desde el año 2008, complementando su formación académica con diversas acciones formativas vinculadas a los ámbitos social, administrativo y cultural.</w:t>
      </w:r>
    </w:p>
    <w:p w14:paraId="30812179" w14:textId="77777777" w:rsidR="00916472" w:rsidRPr="00916472" w:rsidRDefault="00916472" w:rsidP="00916472">
      <w:pPr>
        <w:ind w:left="-567"/>
        <w:jc w:val="both"/>
        <w:rPr>
          <w:color w:val="231F20"/>
          <w:sz w:val="28"/>
          <w:szCs w:val="28"/>
        </w:rPr>
      </w:pPr>
      <w:r w:rsidRPr="00916472">
        <w:rPr>
          <w:color w:val="231F20"/>
          <w:sz w:val="28"/>
          <w:szCs w:val="28"/>
        </w:rPr>
        <w:t>Su trayectoria profesional se inició en el ámbito comercial y de atención al público, desarrollando posteriormente actividad relacionada con el sector primario y distintos proyectos de emprendimiento. Más adelante orientó su experiencia profesional hacia la gestión administrativa, desempeñando actualmente su actividad en el ámbito administrativo y jurídico.</w:t>
      </w:r>
    </w:p>
    <w:p w14:paraId="191DD3E5" w14:textId="77777777" w:rsidR="00916472" w:rsidRPr="00916472" w:rsidRDefault="00916472" w:rsidP="00916472">
      <w:pPr>
        <w:ind w:left="-567"/>
        <w:jc w:val="both"/>
        <w:rPr>
          <w:color w:val="231F20"/>
          <w:sz w:val="28"/>
          <w:szCs w:val="28"/>
        </w:rPr>
      </w:pPr>
      <w:r w:rsidRPr="00916472">
        <w:rPr>
          <w:color w:val="231F20"/>
          <w:sz w:val="28"/>
          <w:szCs w:val="28"/>
        </w:rPr>
        <w:t>Vinculado desde joven al barrio del Toscal-Longuera, ha participado activamente en iniciativas sociales, culturales y vecinales, formando parte de diferentes asociaciones y colectivos del municipio, así como de entidades de carácter social y cultural.</w:t>
      </w:r>
    </w:p>
    <w:p w14:paraId="7B9BB76A" w14:textId="228593F5" w:rsidR="00851272" w:rsidRDefault="00916472" w:rsidP="00916472">
      <w:pPr>
        <w:ind w:left="-567"/>
        <w:jc w:val="both"/>
        <w:rPr>
          <w:color w:val="231F20"/>
        </w:rPr>
      </w:pPr>
      <w:r w:rsidRPr="00916472">
        <w:rPr>
          <w:color w:val="231F20"/>
          <w:sz w:val="28"/>
          <w:szCs w:val="28"/>
        </w:rPr>
        <w:t>Actualmente forma parte de la Corporación Municipal como concejal del Grupo Municipal Socialista, combinando su experiencia profesional con una estrecha implicación en la vida social y comunitaria de Los Realejos.</w:t>
      </w:r>
    </w:p>
    <w:sectPr w:rsidR="00851272" w:rsidSect="00851272">
      <w:type w:val="continuous"/>
      <w:pgSz w:w="12250" w:h="17180"/>
      <w:pgMar w:top="1620" w:right="800" w:bottom="280" w:left="780" w:header="720" w:footer="720" w:gutter="0"/>
      <w:cols w:num="2" w:space="1174" w:equalWidth="0">
        <w:col w:w="4748" w:space="1174"/>
        <w:col w:w="47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832"/>
    <w:rsid w:val="001716E3"/>
    <w:rsid w:val="00584E3F"/>
    <w:rsid w:val="006A14DA"/>
    <w:rsid w:val="006D7DF7"/>
    <w:rsid w:val="00823832"/>
    <w:rsid w:val="00851272"/>
    <w:rsid w:val="00916472"/>
    <w:rsid w:val="00E2080F"/>
    <w:rsid w:val="00E7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2D5F"/>
  <w15:docId w15:val="{4849DC29-5613-49BB-92F9-465B9DD5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4"/>
      <w:ind w:left="11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González González</cp:lastModifiedBy>
  <cp:revision>3</cp:revision>
  <dcterms:created xsi:type="dcterms:W3CDTF">2026-06-07T16:17:00Z</dcterms:created>
  <dcterms:modified xsi:type="dcterms:W3CDTF">2026-06-08T08:55:00Z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2026-06-07T00:00:00Z</vt:filetime>
  </property>
</Properties>
</file>