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D39B" w14:textId="318923F2" w:rsidR="002C3823" w:rsidRPr="00115FF8" w:rsidRDefault="002C3823" w:rsidP="00115FF8">
      <w:pPr>
        <w:rPr>
          <w:b/>
          <w:bCs/>
          <w:sz w:val="28"/>
          <w:szCs w:val="28"/>
        </w:rPr>
      </w:pPr>
      <w:r w:rsidRPr="00115FF8">
        <w:rPr>
          <w:b/>
          <w:bCs/>
          <w:sz w:val="28"/>
          <w:szCs w:val="28"/>
        </w:rPr>
        <w:t>1021. Competencias y Funciones de la Junta de Gobierno Local:</w:t>
      </w:r>
    </w:p>
    <w:p w14:paraId="7954C7E2" w14:textId="77777777" w:rsidR="002C3823" w:rsidRPr="00115FF8" w:rsidRDefault="002C3823" w:rsidP="002C3823">
      <w:pPr>
        <w:jc w:val="both"/>
        <w:rPr>
          <w:rFonts w:cstheme="minorHAnsi"/>
          <w:sz w:val="28"/>
          <w:szCs w:val="28"/>
        </w:rPr>
      </w:pPr>
      <w:r w:rsidRPr="00115FF8">
        <w:rPr>
          <w:rFonts w:cstheme="minorHAnsi"/>
          <w:sz w:val="28"/>
          <w:szCs w:val="28"/>
        </w:rPr>
        <w:t>Tiene como competencia fundamental la asistencia al Alcalde en el ejercicio de sus atribuciones, y desempeñará, además, todas aquellas que le asigne la legislación vigente.</w:t>
      </w:r>
    </w:p>
    <w:p w14:paraId="3AEC5D13" w14:textId="77777777" w:rsidR="00115FF8" w:rsidRDefault="002C3823" w:rsidP="00115FF8">
      <w:pPr>
        <w:jc w:val="both"/>
        <w:rPr>
          <w:rFonts w:cstheme="minorHAnsi"/>
          <w:b/>
          <w:bCs/>
          <w:sz w:val="28"/>
          <w:szCs w:val="28"/>
        </w:rPr>
      </w:pPr>
      <w:r w:rsidRPr="00115FF8">
        <w:rPr>
          <w:rFonts w:cstheme="minorHAnsi"/>
          <w:b/>
          <w:bCs/>
          <w:sz w:val="28"/>
          <w:szCs w:val="28"/>
        </w:rPr>
        <w:t xml:space="preserve">Decreto de Alcaldía </w:t>
      </w:r>
      <w:r w:rsidR="00115FF8" w:rsidRPr="00115FF8">
        <w:rPr>
          <w:rFonts w:cstheme="minorHAnsi"/>
          <w:b/>
          <w:bCs/>
          <w:sz w:val="28"/>
          <w:szCs w:val="28"/>
        </w:rPr>
        <w:t>20231/1860</w:t>
      </w:r>
      <w:r w:rsidRPr="00115FF8">
        <w:rPr>
          <w:rFonts w:cstheme="minorHAnsi"/>
          <w:b/>
          <w:bCs/>
          <w:sz w:val="28"/>
          <w:szCs w:val="28"/>
        </w:rPr>
        <w:t xml:space="preserve"> por el cual se delegan competencias de la Alcaldía en la Junta de Gobierno Local. Toma de conocimiento en el Pleno de </w:t>
      </w:r>
      <w:r w:rsidR="00115FF8" w:rsidRPr="00115FF8">
        <w:rPr>
          <w:rFonts w:cstheme="minorHAnsi"/>
          <w:b/>
          <w:bCs/>
          <w:sz w:val="28"/>
          <w:szCs w:val="28"/>
        </w:rPr>
        <w:t>26</w:t>
      </w:r>
      <w:r w:rsidRPr="00115FF8">
        <w:rPr>
          <w:rFonts w:cstheme="minorHAnsi"/>
          <w:b/>
          <w:bCs/>
          <w:sz w:val="28"/>
          <w:szCs w:val="28"/>
        </w:rPr>
        <w:t xml:space="preserve"> de junio de 20</w:t>
      </w:r>
      <w:r w:rsidR="00115FF8" w:rsidRPr="00115FF8">
        <w:rPr>
          <w:rFonts w:cstheme="minorHAnsi"/>
          <w:b/>
          <w:bCs/>
          <w:sz w:val="28"/>
          <w:szCs w:val="28"/>
        </w:rPr>
        <w:t>23</w:t>
      </w:r>
      <w:r w:rsidRPr="00115FF8">
        <w:rPr>
          <w:rFonts w:cstheme="minorHAnsi"/>
          <w:b/>
          <w:bCs/>
          <w:sz w:val="28"/>
          <w:szCs w:val="28"/>
        </w:rPr>
        <w:t>:</w:t>
      </w:r>
    </w:p>
    <w:p w14:paraId="31A69FD3" w14:textId="77777777" w:rsidR="00115FF8" w:rsidRPr="00115FF8" w:rsidRDefault="00115FF8" w:rsidP="00115FF8">
      <w:pPr>
        <w:pStyle w:val="Prrafodelista"/>
        <w:numPr>
          <w:ilvl w:val="0"/>
          <w:numId w:val="1"/>
        </w:numPr>
        <w:jc w:val="both"/>
        <w:rPr>
          <w:rFonts w:cstheme="minorHAnsi"/>
          <w:b/>
          <w:bCs/>
          <w:sz w:val="28"/>
          <w:szCs w:val="28"/>
        </w:rPr>
      </w:pPr>
      <w:r w:rsidRPr="00115FF8">
        <w:rPr>
          <w:rFonts w:cstheme="minorHAnsi"/>
          <w:color w:val="2F2F2F"/>
          <w:sz w:val="28"/>
          <w:szCs w:val="28"/>
        </w:rPr>
        <w:t>La contratación respecto de los contratos de obras, de suministro, de servicios, los contratos de concesión de obras, los contratos de concesión de servicios y los contratos administrativos especiales, cuyo presupuesto de licitación sea superior a 1.000.000 €, siempre y cuando no sean competencia del Pleno, así como los proyectos asociados a las mismas.</w:t>
      </w:r>
    </w:p>
    <w:p w14:paraId="6DC97361" w14:textId="77777777" w:rsidR="00115FF8" w:rsidRPr="00115FF8" w:rsidRDefault="00115FF8" w:rsidP="00115FF8">
      <w:pPr>
        <w:pStyle w:val="Prrafodelista"/>
        <w:numPr>
          <w:ilvl w:val="0"/>
          <w:numId w:val="1"/>
        </w:numPr>
        <w:jc w:val="both"/>
        <w:rPr>
          <w:rFonts w:cstheme="minorHAnsi"/>
          <w:b/>
          <w:bCs/>
          <w:sz w:val="28"/>
          <w:szCs w:val="28"/>
        </w:rPr>
      </w:pPr>
      <w:r w:rsidRPr="00115FF8">
        <w:rPr>
          <w:rFonts w:cstheme="minorHAnsi"/>
          <w:color w:val="2F2F2F"/>
          <w:sz w:val="28"/>
          <w:szCs w:val="28"/>
        </w:rPr>
        <w:t>La aprobación de los proyectos de obras y de servicios estén o no previstos en el presupuesto que correspondan a las atribuciones delegadas, siempre y cuando superen en su presupuesto el importe de 1.000.000 € de manera individualizada.</w:t>
      </w:r>
    </w:p>
    <w:p w14:paraId="01282543" w14:textId="77777777" w:rsidR="00115FF8" w:rsidRPr="00115FF8" w:rsidRDefault="00115FF8" w:rsidP="00115FF8">
      <w:pPr>
        <w:pStyle w:val="Prrafodelista"/>
        <w:numPr>
          <w:ilvl w:val="0"/>
          <w:numId w:val="1"/>
        </w:numPr>
        <w:jc w:val="both"/>
        <w:rPr>
          <w:rFonts w:cstheme="minorHAnsi"/>
          <w:b/>
          <w:bCs/>
          <w:sz w:val="28"/>
          <w:szCs w:val="28"/>
        </w:rPr>
      </w:pPr>
      <w:r w:rsidRPr="00115FF8">
        <w:rPr>
          <w:rFonts w:cstheme="minorHAnsi"/>
          <w:color w:val="000000"/>
          <w:sz w:val="28"/>
          <w:szCs w:val="28"/>
        </w:rPr>
        <w:t xml:space="preserve">La adquisición de bienes y derechos cuando su valor sea igual o superior a 50.000 euros y no supere el 10 por ciento de los recursos ordinarios del presupuesto ni los tres millones de euros, así como la enajenación del patrimonio que no supere el porcentaje ni la cuantía indicados en los siguientes supuestos: </w:t>
      </w:r>
    </w:p>
    <w:p w14:paraId="43524AC5" w14:textId="77777777" w:rsidR="00115FF8" w:rsidRPr="00115FF8" w:rsidRDefault="00115FF8" w:rsidP="00115FF8">
      <w:pPr>
        <w:pStyle w:val="Prrafodelista"/>
        <w:numPr>
          <w:ilvl w:val="1"/>
          <w:numId w:val="1"/>
        </w:numPr>
        <w:jc w:val="both"/>
        <w:rPr>
          <w:rFonts w:cstheme="minorHAnsi"/>
          <w:b/>
          <w:bCs/>
          <w:sz w:val="28"/>
          <w:szCs w:val="28"/>
        </w:rPr>
      </w:pPr>
      <w:r w:rsidRPr="00115FF8">
        <w:rPr>
          <w:rFonts w:cstheme="minorHAnsi"/>
          <w:color w:val="000000"/>
          <w:sz w:val="28"/>
          <w:szCs w:val="28"/>
        </w:rPr>
        <w:t>La de bienes inmuebles, siempre que esté prevista en el presupuesto.</w:t>
      </w:r>
    </w:p>
    <w:p w14:paraId="01D8C0F1" w14:textId="77777777" w:rsidR="00115FF8" w:rsidRDefault="00115FF8" w:rsidP="00115FF8">
      <w:pPr>
        <w:pStyle w:val="Prrafodelista"/>
        <w:numPr>
          <w:ilvl w:val="1"/>
          <w:numId w:val="1"/>
        </w:numPr>
        <w:tabs>
          <w:tab w:val="left" w:pos="567"/>
        </w:tabs>
        <w:autoSpaceDE w:val="0"/>
        <w:autoSpaceDN w:val="0"/>
        <w:adjustRightInd w:val="0"/>
        <w:spacing w:after="0" w:line="240" w:lineRule="auto"/>
        <w:jc w:val="both"/>
        <w:rPr>
          <w:rFonts w:cstheme="minorHAnsi"/>
          <w:color w:val="000000"/>
          <w:sz w:val="28"/>
          <w:szCs w:val="28"/>
        </w:rPr>
      </w:pPr>
      <w:r w:rsidRPr="00115FF8">
        <w:rPr>
          <w:rFonts w:cstheme="minorHAnsi"/>
          <w:color w:val="000000"/>
          <w:sz w:val="28"/>
          <w:szCs w:val="28"/>
        </w:rPr>
        <w:t>La de bienes muebles, salvo los declarados de valor histórico o artístico cuya enajenación no se encuentre prevista en el presupuesto</w:t>
      </w:r>
      <w:r>
        <w:rPr>
          <w:rFonts w:cstheme="minorHAnsi"/>
          <w:color w:val="000000"/>
          <w:sz w:val="28"/>
          <w:szCs w:val="28"/>
        </w:rPr>
        <w:t>.</w:t>
      </w:r>
    </w:p>
    <w:p w14:paraId="4EF1CA40" w14:textId="77777777" w:rsidR="00115FF8" w:rsidRDefault="00115FF8" w:rsidP="00115FF8">
      <w:pPr>
        <w:pStyle w:val="Prrafodelista"/>
        <w:numPr>
          <w:ilvl w:val="0"/>
          <w:numId w:val="1"/>
        </w:numPr>
        <w:tabs>
          <w:tab w:val="left" w:pos="567"/>
        </w:tabs>
        <w:autoSpaceDE w:val="0"/>
        <w:autoSpaceDN w:val="0"/>
        <w:adjustRightInd w:val="0"/>
        <w:spacing w:after="0" w:line="240" w:lineRule="auto"/>
        <w:jc w:val="both"/>
        <w:rPr>
          <w:rFonts w:cstheme="minorHAnsi"/>
          <w:color w:val="000000"/>
          <w:sz w:val="28"/>
          <w:szCs w:val="28"/>
        </w:rPr>
      </w:pPr>
      <w:r>
        <w:rPr>
          <w:rFonts w:cstheme="minorHAnsi"/>
          <w:color w:val="000000"/>
          <w:sz w:val="28"/>
          <w:szCs w:val="28"/>
        </w:rPr>
        <w:t>R</w:t>
      </w:r>
      <w:r w:rsidRPr="00115FF8">
        <w:rPr>
          <w:rFonts w:cstheme="minorHAnsi"/>
          <w:color w:val="000000"/>
          <w:sz w:val="28"/>
          <w:szCs w:val="28"/>
        </w:rPr>
        <w:t>esolver cualquier clase de recurso administrativo interpuesto ante esta Corporación ante el Área de Hacienda en materias competencia de esta Alcaldía</w:t>
      </w:r>
      <w:r w:rsidRPr="00115FF8">
        <w:rPr>
          <w:rFonts w:cstheme="minorHAnsi"/>
          <w:color w:val="000000"/>
          <w:sz w:val="28"/>
          <w:szCs w:val="28"/>
        </w:rPr>
        <w:t>.</w:t>
      </w:r>
    </w:p>
    <w:p w14:paraId="206B5AE4" w14:textId="01665C5B" w:rsidR="002C3823" w:rsidRPr="00115FF8" w:rsidRDefault="00115FF8" w:rsidP="00115FF8">
      <w:pPr>
        <w:pStyle w:val="Prrafodelista"/>
        <w:numPr>
          <w:ilvl w:val="0"/>
          <w:numId w:val="1"/>
        </w:numPr>
        <w:tabs>
          <w:tab w:val="left" w:pos="567"/>
        </w:tabs>
        <w:autoSpaceDE w:val="0"/>
        <w:autoSpaceDN w:val="0"/>
        <w:adjustRightInd w:val="0"/>
        <w:spacing w:after="0" w:line="240" w:lineRule="auto"/>
        <w:jc w:val="both"/>
        <w:rPr>
          <w:rFonts w:cstheme="minorHAnsi"/>
          <w:color w:val="000000"/>
          <w:sz w:val="28"/>
          <w:szCs w:val="28"/>
        </w:rPr>
      </w:pPr>
      <w:r w:rsidRPr="00115FF8">
        <w:rPr>
          <w:rFonts w:cstheme="minorHAnsi"/>
          <w:color w:val="000000"/>
          <w:sz w:val="28"/>
          <w:szCs w:val="28"/>
        </w:rPr>
        <w:t>Resolver los expedientes de responsabilidad patrimonial en materias competencia de esta Alcaldía.</w:t>
      </w:r>
    </w:p>
    <w:p w14:paraId="7DD115A4" w14:textId="77777777" w:rsidR="00115FF8" w:rsidRDefault="00115FF8" w:rsidP="002C3823">
      <w:pPr>
        <w:jc w:val="both"/>
        <w:rPr>
          <w:rFonts w:cstheme="minorHAnsi"/>
          <w:b/>
          <w:bCs/>
          <w:sz w:val="28"/>
          <w:szCs w:val="28"/>
        </w:rPr>
      </w:pPr>
    </w:p>
    <w:p w14:paraId="7FB0EBAF" w14:textId="79EC6001" w:rsidR="00115FF8" w:rsidRDefault="002C3823" w:rsidP="002C3823">
      <w:pPr>
        <w:jc w:val="both"/>
        <w:rPr>
          <w:rFonts w:cstheme="minorHAnsi"/>
          <w:sz w:val="28"/>
          <w:szCs w:val="28"/>
        </w:rPr>
      </w:pPr>
      <w:r w:rsidRPr="00115FF8">
        <w:rPr>
          <w:rFonts w:cstheme="minorHAnsi"/>
          <w:b/>
          <w:bCs/>
          <w:sz w:val="28"/>
          <w:szCs w:val="28"/>
        </w:rPr>
        <w:t>Acuerdo del Pleno de 2</w:t>
      </w:r>
      <w:r w:rsidR="00E76359">
        <w:rPr>
          <w:rFonts w:cstheme="minorHAnsi"/>
          <w:b/>
          <w:bCs/>
          <w:sz w:val="28"/>
          <w:szCs w:val="28"/>
        </w:rPr>
        <w:t>6</w:t>
      </w:r>
      <w:r w:rsidRPr="00115FF8">
        <w:rPr>
          <w:rFonts w:cstheme="minorHAnsi"/>
          <w:b/>
          <w:bCs/>
          <w:sz w:val="28"/>
          <w:szCs w:val="28"/>
        </w:rPr>
        <w:t xml:space="preserve"> de junio de 20</w:t>
      </w:r>
      <w:r w:rsidR="00E76359">
        <w:rPr>
          <w:rFonts w:cstheme="minorHAnsi"/>
          <w:b/>
          <w:bCs/>
          <w:sz w:val="28"/>
          <w:szCs w:val="28"/>
        </w:rPr>
        <w:t>23</w:t>
      </w:r>
      <w:r w:rsidRPr="00115FF8">
        <w:rPr>
          <w:rFonts w:cstheme="minorHAnsi"/>
          <w:b/>
          <w:bCs/>
          <w:sz w:val="28"/>
          <w:szCs w:val="28"/>
        </w:rPr>
        <w:t>, por el cual se delegan competencias en la Junta de Gobierno Local:</w:t>
      </w:r>
    </w:p>
    <w:p w14:paraId="6E8B73F8" w14:textId="77777777" w:rsidR="00115FF8" w:rsidRDefault="002C3823" w:rsidP="002C3823">
      <w:pPr>
        <w:pStyle w:val="Prrafodelista"/>
        <w:numPr>
          <w:ilvl w:val="0"/>
          <w:numId w:val="2"/>
        </w:numPr>
        <w:jc w:val="both"/>
        <w:rPr>
          <w:rFonts w:cstheme="minorHAnsi"/>
          <w:sz w:val="28"/>
          <w:szCs w:val="28"/>
        </w:rPr>
      </w:pPr>
      <w:r w:rsidRPr="00115FF8">
        <w:rPr>
          <w:rFonts w:cstheme="minorHAnsi"/>
          <w:sz w:val="28"/>
          <w:szCs w:val="28"/>
        </w:rPr>
        <w:t>El ejercicio de acciones judiciales y administrativas y la defensa de la corporación en materias de competencia plenaria.</w:t>
      </w:r>
    </w:p>
    <w:p w14:paraId="0EE10E0A" w14:textId="77777777" w:rsidR="00115FF8" w:rsidRDefault="002C3823" w:rsidP="002C3823">
      <w:pPr>
        <w:pStyle w:val="Prrafodelista"/>
        <w:numPr>
          <w:ilvl w:val="0"/>
          <w:numId w:val="2"/>
        </w:numPr>
        <w:jc w:val="both"/>
        <w:rPr>
          <w:rFonts w:cstheme="minorHAnsi"/>
          <w:sz w:val="28"/>
          <w:szCs w:val="28"/>
        </w:rPr>
      </w:pPr>
      <w:r w:rsidRPr="00115FF8">
        <w:rPr>
          <w:rFonts w:cstheme="minorHAnsi"/>
          <w:sz w:val="28"/>
          <w:szCs w:val="28"/>
        </w:rPr>
        <w:lastRenderedPageBreak/>
        <w:t xml:space="preserve">La aprobación de los proyectos de obras y servicios cuando sea competente para su contratación o concesión, y cuando aún no estén previstos en los presupuestos. </w:t>
      </w:r>
    </w:p>
    <w:p w14:paraId="7C83D09A" w14:textId="33884C3A" w:rsidR="005E47F1" w:rsidRPr="00115FF8" w:rsidRDefault="002C3823" w:rsidP="002C3823">
      <w:pPr>
        <w:pStyle w:val="Prrafodelista"/>
        <w:numPr>
          <w:ilvl w:val="0"/>
          <w:numId w:val="2"/>
        </w:numPr>
        <w:jc w:val="both"/>
        <w:rPr>
          <w:rFonts w:cstheme="minorHAnsi"/>
          <w:sz w:val="28"/>
          <w:szCs w:val="28"/>
        </w:rPr>
      </w:pPr>
      <w:r w:rsidRPr="00115FF8">
        <w:rPr>
          <w:rFonts w:cstheme="minorHAnsi"/>
          <w:sz w:val="28"/>
          <w:szCs w:val="28"/>
        </w:rPr>
        <w:t>Celebración del sorteo de los miembros de mesa en la celebración de procesos electorales.</w:t>
      </w:r>
    </w:p>
    <w:sectPr w:rsidR="005E47F1" w:rsidRPr="00115FF8" w:rsidSect="002C3823">
      <w:headerReference w:type="default" r:id="rId7"/>
      <w:pgSz w:w="11906" w:h="16838"/>
      <w:pgMar w:top="1276"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EDE5" w14:textId="77777777" w:rsidR="00AE3576" w:rsidRDefault="00AE3576" w:rsidP="00816C94">
      <w:pPr>
        <w:spacing w:after="0" w:line="240" w:lineRule="auto"/>
      </w:pPr>
      <w:r>
        <w:separator/>
      </w:r>
    </w:p>
  </w:endnote>
  <w:endnote w:type="continuationSeparator" w:id="0">
    <w:p w14:paraId="543DB082" w14:textId="77777777" w:rsidR="00AE3576" w:rsidRDefault="00AE3576" w:rsidP="0081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813A" w14:textId="77777777" w:rsidR="00AE3576" w:rsidRDefault="00AE3576" w:rsidP="00816C94">
      <w:pPr>
        <w:spacing w:after="0" w:line="240" w:lineRule="auto"/>
      </w:pPr>
      <w:r>
        <w:separator/>
      </w:r>
    </w:p>
  </w:footnote>
  <w:footnote w:type="continuationSeparator" w:id="0">
    <w:p w14:paraId="5E7DF897" w14:textId="77777777" w:rsidR="00AE3576" w:rsidRDefault="00AE3576" w:rsidP="00816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9591" w14:textId="74035D43" w:rsidR="00816C94" w:rsidRDefault="00816C94">
    <w:pPr>
      <w:pStyle w:val="Encabezado"/>
    </w:pPr>
    <w:r>
      <w:rPr>
        <w:noProof/>
        <w:lang w:eastAsia="es-ES"/>
      </w:rPr>
      <w:drawing>
        <wp:anchor distT="0" distB="0" distL="0" distR="0" simplePos="0" relativeHeight="251659264" behindDoc="0" locked="0" layoutInCell="1" allowOverlap="1" wp14:anchorId="401DC0B3" wp14:editId="5FA55B9C">
          <wp:simplePos x="0" y="0"/>
          <wp:positionH relativeFrom="margin">
            <wp:posOffset>-28575</wp:posOffset>
          </wp:positionH>
          <wp:positionV relativeFrom="paragraph">
            <wp:posOffset>-419735</wp:posOffset>
          </wp:positionV>
          <wp:extent cx="2066925" cy="771525"/>
          <wp:effectExtent l="0" t="0" r="9525" b="9525"/>
          <wp:wrapTopAndBottom/>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56" t="12097" r="6678" b="12531"/>
                  <a:stretch/>
                </pic:blipFill>
                <pic:spPr bwMode="auto">
                  <a:xfrm>
                    <a:off x="0" y="0"/>
                    <a:ext cx="2066925" cy="77152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543D2"/>
    <w:multiLevelType w:val="hybridMultilevel"/>
    <w:tmpl w:val="47EC8B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04D2C6D"/>
    <w:multiLevelType w:val="hybridMultilevel"/>
    <w:tmpl w:val="FF24D202"/>
    <w:lvl w:ilvl="0" w:tplc="E92CF83A">
      <w:start w:val="1"/>
      <w:numFmt w:val="lowerLetter"/>
      <w:lvlText w:val="%1)"/>
      <w:lvlJc w:val="left"/>
      <w:pPr>
        <w:ind w:left="720" w:hanging="360"/>
      </w:pPr>
      <w:rPr>
        <w:b w:val="0"/>
        <w:bCs w:val="0"/>
      </w:rPr>
    </w:lvl>
    <w:lvl w:ilvl="1" w:tplc="571C440C">
      <w:start w:val="1"/>
      <w:numFmt w:val="lowerLetter"/>
      <w:lvlText w:val="%2."/>
      <w:lvlJc w:val="left"/>
      <w:pPr>
        <w:ind w:left="1440" w:hanging="360"/>
      </w:pPr>
      <w:rPr>
        <w:b w:val="0"/>
        <w:bCs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6538053">
    <w:abstractNumId w:val="1"/>
  </w:num>
  <w:num w:numId="2" w16cid:durableId="1969701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23"/>
    <w:rsid w:val="00115FF8"/>
    <w:rsid w:val="002C3823"/>
    <w:rsid w:val="005E47F1"/>
    <w:rsid w:val="00816C94"/>
    <w:rsid w:val="008843AB"/>
    <w:rsid w:val="00A65B6C"/>
    <w:rsid w:val="00AE3576"/>
    <w:rsid w:val="00C2754C"/>
    <w:rsid w:val="00E76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E4BF"/>
  <w15:chartTrackingRefBased/>
  <w15:docId w15:val="{94C4B7EF-0CA7-48FF-AC26-DDD750A5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15F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6C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6C94"/>
  </w:style>
  <w:style w:type="paragraph" w:styleId="Piedepgina">
    <w:name w:val="footer"/>
    <w:basedOn w:val="Normal"/>
    <w:link w:val="PiedepginaCar"/>
    <w:uiPriority w:val="99"/>
    <w:unhideWhenUsed/>
    <w:rsid w:val="00816C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6C94"/>
  </w:style>
  <w:style w:type="character" w:customStyle="1" w:styleId="Ttulo1Car">
    <w:name w:val="Título 1 Car"/>
    <w:basedOn w:val="Fuentedeprrafopredeter"/>
    <w:link w:val="Ttulo1"/>
    <w:uiPriority w:val="9"/>
    <w:rsid w:val="00115FF8"/>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115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345</Words>
  <Characters>1903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González González</dc:creator>
  <cp:keywords/>
  <dc:description/>
  <cp:lastModifiedBy>Eduardo Adminstrador</cp:lastModifiedBy>
  <cp:revision>5</cp:revision>
  <dcterms:created xsi:type="dcterms:W3CDTF">2023-01-19T15:10:00Z</dcterms:created>
  <dcterms:modified xsi:type="dcterms:W3CDTF">2023-12-28T10:46:00Z</dcterms:modified>
</cp:coreProperties>
</file>