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39"/>
        <w:rPr>
          <w:rFonts w:ascii="Times New Roman"/>
          <w:sz w:val="20"/>
        </w:rPr>
      </w:pPr>
      <w:r>
        <w:rPr>
          <w:rFonts w:ascii="Times New Roman"/>
          <w:sz w:val="20"/>
        </w:rPr>
        <w:pict>
          <v:group style="width:955.95pt;height:92pt;mso-position-horizontal-relative:char;mso-position-vertical-relative:line" coordorigin="0,0" coordsize="19119,1840">
            <v:rect style="position:absolute;left:3;top:3;width:19111;height:1832" filled="false" stroked="true" strokeweight=".35468pt" strokecolor="#000000">
              <v:stroke dashstyle="solid"/>
            </v:rect>
            <v:shapetype id="_x0000_t202" o:spt="202" coordsize="21600,21600" path="m,l,21600r21600,l21600,xe">
              <v:stroke joinstyle="miter"/>
              <v:path gradientshapeok="t" o:connecttype="rect"/>
            </v:shapetype>
            <v:shape style="position:absolute;left:18841;top:1157;width:186;height:333" type="#_x0000_t202" filled="false" stroked="false">
              <v:textbox inset="0,0,0,0">
                <w:txbxContent>
                  <w:p>
                    <w:pPr>
                      <w:spacing w:line="331" w:lineRule="exact" w:before="0"/>
                      <w:ind w:left="0" w:right="0" w:firstLine="0"/>
                      <w:jc w:val="left"/>
                      <w:rPr>
                        <w:rFonts w:ascii="Arial"/>
                        <w:sz w:val="29"/>
                      </w:rPr>
                    </w:pPr>
                    <w:r>
                      <w:rPr>
                        <w:rFonts w:ascii="Arial"/>
                        <w:w w:val="102"/>
                        <w:sz w:val="29"/>
                      </w:rPr>
                      <w:t>1</w:t>
                    </w:r>
                  </w:p>
                </w:txbxContent>
              </v:textbox>
              <w10:wrap type="none"/>
            </v:shape>
            <v:shape style="position:absolute;left:17613;top:1157;width:628;height:333" type="#_x0000_t202" filled="false" stroked="false">
              <v:textbox inset="0,0,0,0">
                <w:txbxContent>
                  <w:p>
                    <w:pPr>
                      <w:spacing w:line="331" w:lineRule="exact" w:before="0"/>
                      <w:ind w:left="0" w:right="0" w:firstLine="0"/>
                      <w:jc w:val="left"/>
                      <w:rPr>
                        <w:rFonts w:ascii="Arial" w:hAnsi="Arial"/>
                        <w:sz w:val="29"/>
                      </w:rPr>
                    </w:pPr>
                    <w:r>
                      <w:rPr>
                        <w:rFonts w:ascii="Arial" w:hAnsi="Arial"/>
                        <w:sz w:val="29"/>
                      </w:rPr>
                      <w:t>Pág.</w:t>
                    </w:r>
                  </w:p>
                </w:txbxContent>
              </v:textbox>
              <w10:wrap type="none"/>
            </v:shape>
            <v:shape style="position:absolute;left:9403;top:1267;width:4009;height:373" type="#_x0000_t202" filled="false" stroked="false">
              <v:textbox inset="0,0,0,0">
                <w:txbxContent>
                  <w:p>
                    <w:pPr>
                      <w:spacing w:line="372" w:lineRule="exact" w:before="0"/>
                      <w:ind w:left="0" w:right="0" w:firstLine="0"/>
                      <w:jc w:val="left"/>
                      <w:rPr>
                        <w:rFonts w:ascii="Arial"/>
                        <w:sz w:val="33"/>
                      </w:rPr>
                    </w:pPr>
                    <w:r>
                      <w:rPr>
                        <w:rFonts w:ascii="Arial"/>
                        <w:sz w:val="33"/>
                      </w:rPr>
                      <w:t>Periodo :</w:t>
                    </w:r>
                    <w:r>
                      <w:rPr>
                        <w:rFonts w:ascii="Arial"/>
                        <w:spacing w:val="87"/>
                        <w:sz w:val="33"/>
                      </w:rPr>
                      <w:t> </w:t>
                    </w:r>
                    <w:r>
                      <w:rPr>
                        <w:rFonts w:ascii="Arial"/>
                        <w:spacing w:val="-3"/>
                        <w:sz w:val="33"/>
                      </w:rPr>
                      <w:t>01-2025/12-2025</w:t>
                    </w:r>
                  </w:p>
                </w:txbxContent>
              </v:textbox>
              <w10:wrap type="none"/>
            </v:shape>
            <v:shape style="position:absolute;left:115;top:1267;width:5002;height:373" type="#_x0000_t202" filled="false" stroked="false">
              <v:textbox inset="0,0,0,0">
                <w:txbxContent>
                  <w:p>
                    <w:pPr>
                      <w:tabs>
                        <w:tab w:pos="1809" w:val="left" w:leader="none"/>
                        <w:tab w:pos="4321" w:val="left" w:leader="none"/>
                      </w:tabs>
                      <w:spacing w:line="372" w:lineRule="exact" w:before="0"/>
                      <w:ind w:left="0" w:right="0" w:firstLine="0"/>
                      <w:jc w:val="left"/>
                      <w:rPr>
                        <w:rFonts w:ascii="Arial"/>
                        <w:sz w:val="29"/>
                      </w:rPr>
                    </w:pPr>
                    <w:r>
                      <w:rPr>
                        <w:rFonts w:ascii="Arial"/>
                        <w:sz w:val="33"/>
                      </w:rPr>
                      <w:t>Ejercicio</w:t>
                    </w:r>
                    <w:r>
                      <w:rPr>
                        <w:rFonts w:ascii="Arial"/>
                        <w:spacing w:val="8"/>
                        <w:sz w:val="33"/>
                      </w:rPr>
                      <w:t> </w:t>
                    </w:r>
                    <w:r>
                      <w:rPr>
                        <w:rFonts w:ascii="Arial"/>
                        <w:sz w:val="33"/>
                      </w:rPr>
                      <w:t>:</w:t>
                      <w:tab/>
                    </w:r>
                    <w:r>
                      <w:rPr>
                        <w:rFonts w:ascii="Arial"/>
                        <w:position w:val="3"/>
                        <w:sz w:val="29"/>
                      </w:rPr>
                      <w:t>2025</w:t>
                      <w:tab/>
                      <w:t>(Eur)</w:t>
                    </w:r>
                  </w:p>
                </w:txbxContent>
              </v:textbox>
              <w10:wrap type="none"/>
            </v:shape>
            <v:shape style="position:absolute;left:16208;top:181;width:2768;height:373" type="#_x0000_t202" filled="false" stroked="false">
              <v:textbox inset="0,0,0,0">
                <w:txbxContent>
                  <w:p>
                    <w:pPr>
                      <w:spacing w:line="372" w:lineRule="exact" w:before="0"/>
                      <w:ind w:left="0" w:right="0" w:firstLine="0"/>
                      <w:jc w:val="left"/>
                      <w:rPr>
                        <w:rFonts w:ascii="Arial"/>
                        <w:sz w:val="33"/>
                      </w:rPr>
                    </w:pPr>
                    <w:r>
                      <w:rPr>
                        <w:rFonts w:ascii="Arial"/>
                        <w:position w:val="3"/>
                        <w:sz w:val="29"/>
                      </w:rPr>
                      <w:t>Fecha : </w:t>
                    </w:r>
                    <w:r>
                      <w:rPr>
                        <w:rFonts w:ascii="Arial"/>
                        <w:sz w:val="33"/>
                      </w:rPr>
                      <w:t>16/03/2026</w:t>
                    </w:r>
                  </w:p>
                </w:txbxContent>
              </v:textbox>
              <w10:wrap type="none"/>
            </v:shape>
            <v:shape style="position:absolute;left:1406;top:181;width:11878;height:936" type="#_x0000_t202" filled="false" stroked="false">
              <v:textbox inset="0,0,0,0">
                <w:txbxContent>
                  <w:p>
                    <w:pPr>
                      <w:spacing w:line="372" w:lineRule="exact" w:before="0"/>
                      <w:ind w:left="0" w:right="0" w:firstLine="0"/>
                      <w:jc w:val="left"/>
                      <w:rPr>
                        <w:rFonts w:ascii="Arial"/>
                        <w:b/>
                        <w:sz w:val="33"/>
                      </w:rPr>
                    </w:pPr>
                    <w:r>
                      <w:rPr>
                        <w:rFonts w:ascii="Arial"/>
                        <w:b/>
                        <w:position w:val="3"/>
                        <w:sz w:val="29"/>
                      </w:rPr>
                      <w:t>) </w:t>
                    </w:r>
                    <w:r>
                      <w:rPr>
                        <w:rFonts w:ascii="Arial"/>
                        <w:b/>
                        <w:sz w:val="33"/>
                      </w:rPr>
                      <w:t>MEDIOS DE COMUNICACION MUNICI</w:t>
                    </w:r>
                  </w:p>
                  <w:p>
                    <w:pPr>
                      <w:spacing w:before="57"/>
                      <w:ind w:left="4314" w:right="0" w:firstLine="0"/>
                      <w:jc w:val="left"/>
                      <w:rPr>
                        <w:rFonts w:ascii="Arial" w:hAnsi="Arial"/>
                        <w:sz w:val="44"/>
                      </w:rPr>
                    </w:pPr>
                    <w:r>
                      <w:rPr>
                        <w:rFonts w:ascii="Arial" w:hAnsi="Arial"/>
                        <w:w w:val="110"/>
                        <w:sz w:val="44"/>
                      </w:rPr>
                      <w:t>Cuenta Pérd/Ganancias Abreviada</w:t>
                    </w:r>
                  </w:p>
                </w:txbxContent>
              </v:textbox>
              <w10:wrap type="none"/>
            </v:shape>
            <v:shape style="position:absolute;left:115;top:185;width:1030;height:333" type="#_x0000_t202" filled="false" stroked="false">
              <v:textbox inset="0,0,0,0">
                <w:txbxContent>
                  <w:p>
                    <w:pPr>
                      <w:spacing w:line="331" w:lineRule="exact" w:before="0"/>
                      <w:ind w:left="0" w:right="0" w:firstLine="0"/>
                      <w:jc w:val="left"/>
                      <w:rPr>
                        <w:rFonts w:ascii="Arial"/>
                        <w:b/>
                        <w:sz w:val="29"/>
                      </w:rPr>
                    </w:pPr>
                    <w:r>
                      <w:rPr>
                        <w:rFonts w:ascii="Arial"/>
                        <w:b/>
                        <w:w w:val="105"/>
                        <w:sz w:val="29"/>
                      </w:rPr>
                      <w:t>(</w:t>
                    </w:r>
                    <w:r>
                      <w:rPr>
                        <w:rFonts w:ascii="Arial"/>
                        <w:b/>
                        <w:spacing w:val="-21"/>
                        <w:w w:val="105"/>
                        <w:sz w:val="29"/>
                      </w:rPr>
                      <w:t> </w:t>
                    </w:r>
                    <w:r>
                      <w:rPr>
                        <w:rFonts w:ascii="Arial"/>
                        <w:b/>
                        <w:w w:val="105"/>
                        <w:sz w:val="29"/>
                      </w:rPr>
                      <w:t>00347</w:t>
                    </w:r>
                  </w:p>
                </w:txbxContent>
              </v:textbox>
              <w10:wrap type="none"/>
            </v:shape>
          </v:group>
        </w:pict>
      </w:r>
      <w:r>
        <w:rPr>
          <w:rFonts w:ascii="Times New Roman"/>
          <w:sz w:val="20"/>
        </w:rPr>
      </w:r>
    </w:p>
    <w:p>
      <w:pPr>
        <w:pStyle w:val="BodyText"/>
        <w:spacing w:before="9"/>
        <w:rPr>
          <w:rFonts w:ascii="Times New Roman"/>
          <w:sz w:val="19"/>
        </w:rPr>
      </w:pPr>
    </w:p>
    <w:p>
      <w:pPr>
        <w:spacing w:line="331" w:lineRule="exact" w:before="97"/>
        <w:ind w:left="8764" w:right="0" w:firstLine="0"/>
        <w:jc w:val="left"/>
        <w:rPr>
          <w:rFonts w:ascii="Arial"/>
          <w:sz w:val="29"/>
        </w:rPr>
      </w:pPr>
      <w:r>
        <w:rPr>
          <w:rFonts w:ascii="Arial"/>
          <w:w w:val="105"/>
          <w:sz w:val="29"/>
        </w:rPr>
        <w:t>Notas de la</w:t>
      </w:r>
    </w:p>
    <w:p>
      <w:pPr>
        <w:tabs>
          <w:tab w:pos="11999" w:val="left" w:leader="none"/>
          <w:tab w:pos="17058" w:val="right" w:leader="none"/>
        </w:tabs>
        <w:spacing w:line="380" w:lineRule="exact" w:before="0"/>
        <w:ind w:left="8984" w:right="0" w:firstLine="0"/>
        <w:jc w:val="left"/>
        <w:rPr>
          <w:rFonts w:ascii="Arial"/>
          <w:b/>
          <w:sz w:val="33"/>
        </w:rPr>
      </w:pPr>
      <w:r>
        <w:rPr/>
        <w:pict>
          <v:shape style="position:absolute;margin-left:77.75pt;margin-top:22.734047pt;width:955.75pt;height:133.6pt;mso-position-horizontal-relative:page;mso-position-vertical-relative:paragraph;z-index:2516664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85"/>
                    <w:gridCol w:w="6056"/>
                    <w:gridCol w:w="4472"/>
                  </w:tblGrid>
                  <w:tr>
                    <w:trPr>
                      <w:trHeight w:val="562" w:hRule="atLeast"/>
                    </w:trPr>
                    <w:tc>
                      <w:tcPr>
                        <w:tcW w:w="8585" w:type="dxa"/>
                        <w:tcBorders>
                          <w:top w:val="single" w:sz="4" w:space="0" w:color="000000"/>
                        </w:tcBorders>
                      </w:tcPr>
                      <w:p>
                        <w:pPr>
                          <w:pStyle w:val="TableParagraph"/>
                          <w:spacing w:line="362" w:lineRule="exact" w:before="181"/>
                          <w:ind w:left="-2"/>
                          <w:jc w:val="left"/>
                          <w:rPr>
                            <w:rFonts w:ascii="Arial"/>
                            <w:sz w:val="29"/>
                          </w:rPr>
                        </w:pPr>
                        <w:r>
                          <w:rPr>
                            <w:rFonts w:ascii="Arial"/>
                            <w:w w:val="105"/>
                            <w:position w:val="-4"/>
                            <w:sz w:val="29"/>
                          </w:rPr>
                          <w:t>1 </w:t>
                        </w:r>
                        <w:r>
                          <w:rPr>
                            <w:rFonts w:ascii="Arial"/>
                            <w:w w:val="105"/>
                            <w:sz w:val="29"/>
                          </w:rPr>
                          <w:t>Importe Neto de la cifra de negocios</w:t>
                        </w:r>
                      </w:p>
                    </w:tc>
                    <w:tc>
                      <w:tcPr>
                        <w:tcW w:w="6056" w:type="dxa"/>
                        <w:tcBorders>
                          <w:top w:val="single" w:sz="4" w:space="0" w:color="000000"/>
                        </w:tcBorders>
                      </w:tcPr>
                      <w:p>
                        <w:pPr>
                          <w:pStyle w:val="TableParagraph"/>
                          <w:spacing w:before="181"/>
                          <w:ind w:right="1362"/>
                          <w:rPr>
                            <w:rFonts w:ascii="Arial"/>
                            <w:sz w:val="29"/>
                          </w:rPr>
                        </w:pPr>
                        <w:r>
                          <w:rPr>
                            <w:rFonts w:ascii="Arial"/>
                            <w:sz w:val="29"/>
                          </w:rPr>
                          <w:t>7.827,00</w:t>
                        </w:r>
                      </w:p>
                    </w:tc>
                    <w:tc>
                      <w:tcPr>
                        <w:tcW w:w="4472" w:type="dxa"/>
                        <w:tcBorders>
                          <w:top w:val="single" w:sz="4" w:space="0" w:color="000000"/>
                        </w:tcBorders>
                      </w:tcPr>
                      <w:p>
                        <w:pPr>
                          <w:pStyle w:val="TableParagraph"/>
                          <w:spacing w:before="181"/>
                          <w:ind w:right="1512"/>
                          <w:rPr>
                            <w:rFonts w:ascii="Arial"/>
                            <w:sz w:val="29"/>
                          </w:rPr>
                        </w:pPr>
                        <w:r>
                          <w:rPr>
                            <w:rFonts w:ascii="Arial"/>
                            <w:sz w:val="29"/>
                          </w:rPr>
                          <w:t>10.237,40</w:t>
                        </w:r>
                      </w:p>
                    </w:tc>
                  </w:tr>
                  <w:tr>
                    <w:trPr>
                      <w:trHeight w:val="429" w:hRule="atLeast"/>
                    </w:trPr>
                    <w:tc>
                      <w:tcPr>
                        <w:tcW w:w="8585" w:type="dxa"/>
                      </w:tcPr>
                      <w:p>
                        <w:pPr>
                          <w:pStyle w:val="TableParagraph"/>
                          <w:spacing w:line="365" w:lineRule="exact" w:before="44"/>
                          <w:ind w:left="-2"/>
                          <w:jc w:val="left"/>
                          <w:rPr>
                            <w:rFonts w:ascii="Arial" w:hAnsi="Arial"/>
                            <w:sz w:val="29"/>
                          </w:rPr>
                        </w:pPr>
                        <w:r>
                          <w:rPr>
                            <w:rFonts w:ascii="Arial" w:hAnsi="Arial"/>
                            <w:w w:val="105"/>
                            <w:position w:val="-5"/>
                            <w:sz w:val="29"/>
                          </w:rPr>
                          <w:t>5 </w:t>
                        </w:r>
                        <w:r>
                          <w:rPr>
                            <w:rFonts w:ascii="Arial" w:hAnsi="Arial"/>
                            <w:w w:val="105"/>
                            <w:sz w:val="29"/>
                          </w:rPr>
                          <w:t>Otros ingresos de explotación</w:t>
                        </w:r>
                      </w:p>
                    </w:tc>
                    <w:tc>
                      <w:tcPr>
                        <w:tcW w:w="6056" w:type="dxa"/>
                      </w:tcPr>
                      <w:p>
                        <w:pPr>
                          <w:pStyle w:val="TableParagraph"/>
                          <w:spacing w:before="44"/>
                          <w:ind w:right="1355"/>
                          <w:rPr>
                            <w:rFonts w:ascii="Arial"/>
                            <w:sz w:val="29"/>
                          </w:rPr>
                        </w:pPr>
                        <w:r>
                          <w:rPr>
                            <w:rFonts w:ascii="Arial"/>
                            <w:sz w:val="29"/>
                          </w:rPr>
                          <w:t>334.058,18</w:t>
                        </w:r>
                      </w:p>
                    </w:tc>
                    <w:tc>
                      <w:tcPr>
                        <w:tcW w:w="4472" w:type="dxa"/>
                      </w:tcPr>
                      <w:p>
                        <w:pPr>
                          <w:pStyle w:val="TableParagraph"/>
                          <w:spacing w:before="44"/>
                          <w:ind w:right="1506"/>
                          <w:rPr>
                            <w:rFonts w:ascii="Arial"/>
                            <w:sz w:val="29"/>
                          </w:rPr>
                        </w:pPr>
                        <w:r>
                          <w:rPr>
                            <w:rFonts w:ascii="Arial"/>
                            <w:sz w:val="29"/>
                          </w:rPr>
                          <w:t>250.941,28</w:t>
                        </w:r>
                      </w:p>
                    </w:tc>
                  </w:tr>
                  <w:tr>
                    <w:trPr>
                      <w:trHeight w:val="432" w:hRule="atLeast"/>
                    </w:trPr>
                    <w:tc>
                      <w:tcPr>
                        <w:tcW w:w="8585" w:type="dxa"/>
                      </w:tcPr>
                      <w:p>
                        <w:pPr>
                          <w:pStyle w:val="TableParagraph"/>
                          <w:spacing w:line="365" w:lineRule="exact" w:before="47"/>
                          <w:ind w:left="-2"/>
                          <w:jc w:val="left"/>
                          <w:rPr>
                            <w:rFonts w:ascii="Arial"/>
                            <w:sz w:val="29"/>
                          </w:rPr>
                        </w:pPr>
                        <w:r>
                          <w:rPr>
                            <w:rFonts w:ascii="Arial"/>
                            <w:w w:val="105"/>
                            <w:position w:val="-5"/>
                            <w:sz w:val="29"/>
                          </w:rPr>
                          <w:t>6 </w:t>
                        </w:r>
                        <w:r>
                          <w:rPr>
                            <w:rFonts w:ascii="Arial"/>
                            <w:w w:val="105"/>
                            <w:sz w:val="29"/>
                          </w:rPr>
                          <w:t>Gastos de personal</w:t>
                        </w:r>
                      </w:p>
                    </w:tc>
                    <w:tc>
                      <w:tcPr>
                        <w:tcW w:w="6056" w:type="dxa"/>
                      </w:tcPr>
                      <w:p>
                        <w:pPr>
                          <w:pStyle w:val="TableParagraph"/>
                          <w:spacing w:before="47"/>
                          <w:ind w:right="1362"/>
                          <w:rPr>
                            <w:rFonts w:ascii="Arial"/>
                            <w:sz w:val="29"/>
                          </w:rPr>
                        </w:pPr>
                        <w:r>
                          <w:rPr>
                            <w:rFonts w:ascii="Arial"/>
                            <w:sz w:val="29"/>
                          </w:rPr>
                          <w:t>-301.885,63</w:t>
                        </w:r>
                      </w:p>
                    </w:tc>
                    <w:tc>
                      <w:tcPr>
                        <w:tcW w:w="4472" w:type="dxa"/>
                      </w:tcPr>
                      <w:p>
                        <w:pPr>
                          <w:pStyle w:val="TableParagraph"/>
                          <w:spacing w:before="47"/>
                          <w:ind w:right="1513"/>
                          <w:rPr>
                            <w:rFonts w:ascii="Arial"/>
                            <w:sz w:val="29"/>
                          </w:rPr>
                        </w:pPr>
                        <w:r>
                          <w:rPr>
                            <w:rFonts w:ascii="Arial"/>
                            <w:sz w:val="29"/>
                          </w:rPr>
                          <w:t>-254.468,32</w:t>
                        </w:r>
                      </w:p>
                    </w:tc>
                  </w:tr>
                  <w:tr>
                    <w:trPr>
                      <w:trHeight w:val="429" w:hRule="atLeast"/>
                    </w:trPr>
                    <w:tc>
                      <w:tcPr>
                        <w:tcW w:w="8585" w:type="dxa"/>
                      </w:tcPr>
                      <w:p>
                        <w:pPr>
                          <w:pStyle w:val="TableParagraph"/>
                          <w:spacing w:line="362" w:lineRule="exact" w:before="48"/>
                          <w:ind w:left="-2"/>
                          <w:jc w:val="left"/>
                          <w:rPr>
                            <w:rFonts w:ascii="Arial" w:hAnsi="Arial"/>
                            <w:sz w:val="29"/>
                          </w:rPr>
                        </w:pPr>
                        <w:r>
                          <w:rPr>
                            <w:rFonts w:ascii="Arial" w:hAnsi="Arial"/>
                            <w:w w:val="105"/>
                            <w:position w:val="-5"/>
                            <w:sz w:val="29"/>
                          </w:rPr>
                          <w:t>7 </w:t>
                        </w:r>
                        <w:r>
                          <w:rPr>
                            <w:rFonts w:ascii="Arial" w:hAnsi="Arial"/>
                            <w:w w:val="105"/>
                            <w:sz w:val="29"/>
                          </w:rPr>
                          <w:t>Otros gastos de explotación</w:t>
                        </w:r>
                      </w:p>
                    </w:tc>
                    <w:tc>
                      <w:tcPr>
                        <w:tcW w:w="6056" w:type="dxa"/>
                      </w:tcPr>
                      <w:p>
                        <w:pPr>
                          <w:pStyle w:val="TableParagraph"/>
                          <w:spacing w:before="48"/>
                          <w:ind w:right="1354"/>
                          <w:rPr>
                            <w:rFonts w:ascii="Arial"/>
                            <w:sz w:val="29"/>
                          </w:rPr>
                        </w:pPr>
                        <w:r>
                          <w:rPr>
                            <w:rFonts w:ascii="Arial"/>
                            <w:sz w:val="29"/>
                          </w:rPr>
                          <w:t>-58.292,21</w:t>
                        </w:r>
                      </w:p>
                    </w:tc>
                    <w:tc>
                      <w:tcPr>
                        <w:tcW w:w="4472" w:type="dxa"/>
                      </w:tcPr>
                      <w:p>
                        <w:pPr>
                          <w:pStyle w:val="TableParagraph"/>
                          <w:spacing w:before="48"/>
                          <w:ind w:right="1505"/>
                          <w:rPr>
                            <w:rFonts w:ascii="Arial"/>
                            <w:sz w:val="29"/>
                          </w:rPr>
                        </w:pPr>
                        <w:r>
                          <w:rPr>
                            <w:rFonts w:ascii="Arial"/>
                            <w:sz w:val="29"/>
                          </w:rPr>
                          <w:t>-35.503,52</w:t>
                        </w:r>
                      </w:p>
                    </w:tc>
                  </w:tr>
                  <w:tr>
                    <w:trPr>
                      <w:trHeight w:val="429" w:hRule="atLeast"/>
                    </w:trPr>
                    <w:tc>
                      <w:tcPr>
                        <w:tcW w:w="8585" w:type="dxa"/>
                      </w:tcPr>
                      <w:p>
                        <w:pPr>
                          <w:pStyle w:val="TableParagraph"/>
                          <w:spacing w:line="365" w:lineRule="exact" w:before="44"/>
                          <w:ind w:left="-2"/>
                          <w:jc w:val="left"/>
                          <w:rPr>
                            <w:rFonts w:ascii="Arial" w:hAnsi="Arial"/>
                            <w:sz w:val="29"/>
                          </w:rPr>
                        </w:pPr>
                        <w:r>
                          <w:rPr>
                            <w:rFonts w:ascii="Arial" w:hAnsi="Arial"/>
                            <w:w w:val="105"/>
                            <w:position w:val="-5"/>
                            <w:sz w:val="29"/>
                          </w:rPr>
                          <w:t>8 </w:t>
                        </w:r>
                        <w:r>
                          <w:rPr>
                            <w:rFonts w:ascii="Arial" w:hAnsi="Arial"/>
                            <w:w w:val="105"/>
                            <w:sz w:val="29"/>
                          </w:rPr>
                          <w:t>Amortización de inmovilizado</w:t>
                        </w:r>
                      </w:p>
                    </w:tc>
                    <w:tc>
                      <w:tcPr>
                        <w:tcW w:w="6056" w:type="dxa"/>
                      </w:tcPr>
                      <w:p>
                        <w:pPr>
                          <w:pStyle w:val="TableParagraph"/>
                          <w:spacing w:before="44"/>
                          <w:ind w:right="1354"/>
                          <w:rPr>
                            <w:rFonts w:ascii="Arial"/>
                            <w:sz w:val="29"/>
                          </w:rPr>
                        </w:pPr>
                        <w:r>
                          <w:rPr>
                            <w:rFonts w:ascii="Arial"/>
                            <w:sz w:val="29"/>
                          </w:rPr>
                          <w:t>-12.022,94</w:t>
                        </w:r>
                      </w:p>
                    </w:tc>
                    <w:tc>
                      <w:tcPr>
                        <w:tcW w:w="4472" w:type="dxa"/>
                      </w:tcPr>
                      <w:p>
                        <w:pPr>
                          <w:pStyle w:val="TableParagraph"/>
                          <w:spacing w:before="44"/>
                          <w:ind w:right="1506"/>
                          <w:rPr>
                            <w:rFonts w:ascii="Arial"/>
                            <w:sz w:val="29"/>
                          </w:rPr>
                        </w:pPr>
                        <w:r>
                          <w:rPr>
                            <w:rFonts w:ascii="Arial"/>
                            <w:sz w:val="29"/>
                          </w:rPr>
                          <w:t>-3.146,83</w:t>
                        </w:r>
                      </w:p>
                    </w:tc>
                  </w:tr>
                  <w:tr>
                    <w:trPr>
                      <w:trHeight w:val="382" w:hRule="atLeast"/>
                    </w:trPr>
                    <w:tc>
                      <w:tcPr>
                        <w:tcW w:w="8585" w:type="dxa"/>
                      </w:tcPr>
                      <w:p>
                        <w:pPr>
                          <w:pStyle w:val="TableParagraph"/>
                          <w:spacing w:line="315" w:lineRule="exact" w:before="47"/>
                          <w:ind w:left="-2"/>
                          <w:jc w:val="left"/>
                          <w:rPr>
                            <w:rFonts w:ascii="Arial"/>
                            <w:sz w:val="29"/>
                          </w:rPr>
                        </w:pPr>
                        <w:r>
                          <w:rPr>
                            <w:rFonts w:ascii="Arial"/>
                            <w:w w:val="105"/>
                            <w:position w:val="-5"/>
                            <w:sz w:val="29"/>
                          </w:rPr>
                          <w:t>9 </w:t>
                        </w:r>
                        <w:r>
                          <w:rPr>
                            <w:rFonts w:ascii="Arial"/>
                            <w:w w:val="105"/>
                            <w:sz w:val="29"/>
                          </w:rPr>
                          <w:t>Imput.subv.de inmovil.no financ.y otras</w:t>
                        </w:r>
                      </w:p>
                    </w:tc>
                    <w:tc>
                      <w:tcPr>
                        <w:tcW w:w="6056" w:type="dxa"/>
                      </w:tcPr>
                      <w:p>
                        <w:pPr>
                          <w:pStyle w:val="TableParagraph"/>
                          <w:spacing w:line="315" w:lineRule="exact" w:before="47"/>
                          <w:ind w:right="1361"/>
                          <w:rPr>
                            <w:rFonts w:ascii="Arial"/>
                            <w:sz w:val="29"/>
                          </w:rPr>
                        </w:pPr>
                        <w:r>
                          <w:rPr>
                            <w:rFonts w:ascii="Arial"/>
                            <w:sz w:val="29"/>
                          </w:rPr>
                          <w:t>62.094,47</w:t>
                        </w:r>
                      </w:p>
                    </w:tc>
                    <w:tc>
                      <w:tcPr>
                        <w:tcW w:w="4472" w:type="dxa"/>
                      </w:tcPr>
                      <w:p>
                        <w:pPr>
                          <w:pStyle w:val="TableParagraph"/>
                          <w:spacing w:line="315" w:lineRule="exact" w:before="47"/>
                          <w:ind w:right="1513"/>
                          <w:rPr>
                            <w:rFonts w:ascii="Arial"/>
                            <w:sz w:val="29"/>
                          </w:rPr>
                        </w:pPr>
                        <w:r>
                          <w:rPr>
                            <w:rFonts w:ascii="Arial"/>
                            <w:sz w:val="29"/>
                          </w:rPr>
                          <w:t>2.302,64</w:t>
                        </w:r>
                      </w:p>
                    </w:tc>
                  </w:tr>
                </w:tbl>
                <w:p>
                  <w:pPr>
                    <w:pStyle w:val="BodyText"/>
                  </w:pPr>
                </w:p>
              </w:txbxContent>
            </v:textbox>
            <w10:wrap type="none"/>
          </v:shape>
        </w:pict>
      </w:r>
      <w:r>
        <w:rPr>
          <w:rFonts w:ascii="Arial"/>
          <w:position w:val="4"/>
          <w:sz w:val="29"/>
        </w:rPr>
        <w:t>Memoria</w:t>
        <w:tab/>
      </w:r>
      <w:r>
        <w:rPr>
          <w:rFonts w:ascii="Arial"/>
          <w:b/>
          <w:sz w:val="33"/>
        </w:rPr>
        <w:t>2025</w:t>
        <w:tab/>
        <w:t>2024</w:t>
      </w:r>
    </w:p>
    <w:p>
      <w:pPr>
        <w:spacing w:before="286"/>
        <w:ind w:left="128" w:right="0" w:firstLine="0"/>
        <w:jc w:val="left"/>
        <w:rPr>
          <w:rFonts w:ascii="Arial"/>
          <w:sz w:val="37"/>
        </w:rPr>
      </w:pPr>
      <w:r>
        <w:rPr>
          <w:rFonts w:ascii="Arial"/>
          <w:color w:val="FDFDFD"/>
          <w:w w:val="99"/>
          <w:sz w:val="37"/>
        </w:rPr>
        <w:t>.</w:t>
      </w:r>
    </w:p>
    <w:p>
      <w:pPr>
        <w:spacing w:before="14"/>
        <w:ind w:left="128" w:right="0" w:firstLine="0"/>
        <w:jc w:val="left"/>
        <w:rPr>
          <w:rFonts w:ascii="Arial"/>
          <w:sz w:val="37"/>
        </w:rPr>
      </w:pPr>
      <w:r>
        <w:rPr>
          <w:rFonts w:ascii="Arial"/>
          <w:color w:val="FDFDFD"/>
          <w:w w:val="99"/>
          <w:sz w:val="37"/>
        </w:rPr>
        <w:t>.</w:t>
      </w:r>
    </w:p>
    <w:p>
      <w:pPr>
        <w:spacing w:before="0"/>
        <w:ind w:left="128" w:right="0" w:firstLine="0"/>
        <w:jc w:val="left"/>
        <w:rPr>
          <w:rFonts w:ascii="Arial"/>
          <w:sz w:val="37"/>
        </w:rPr>
      </w:pPr>
      <w:r>
        <w:rPr>
          <w:rFonts w:ascii="Arial"/>
          <w:color w:val="FDFDFD"/>
          <w:w w:val="99"/>
          <w:sz w:val="37"/>
        </w:rPr>
        <w:t>.</w:t>
      </w:r>
    </w:p>
    <w:p>
      <w:pPr>
        <w:spacing w:before="8"/>
        <w:ind w:left="128" w:right="0" w:firstLine="0"/>
        <w:jc w:val="left"/>
        <w:rPr>
          <w:rFonts w:ascii="Arial"/>
          <w:sz w:val="37"/>
        </w:rPr>
      </w:pPr>
      <w:r>
        <w:rPr>
          <w:rFonts w:ascii="Arial"/>
          <w:color w:val="FDFDFD"/>
          <w:w w:val="99"/>
          <w:sz w:val="37"/>
        </w:rPr>
        <w:t>.</w:t>
      </w:r>
    </w:p>
    <w:p>
      <w:pPr>
        <w:spacing w:before="7"/>
        <w:ind w:left="128" w:right="0" w:firstLine="0"/>
        <w:jc w:val="left"/>
        <w:rPr>
          <w:rFonts w:ascii="Arial"/>
          <w:sz w:val="37"/>
        </w:rPr>
      </w:pPr>
      <w:r>
        <w:rPr>
          <w:rFonts w:ascii="Arial"/>
          <w:color w:val="FDFDFD"/>
          <w:w w:val="99"/>
          <w:sz w:val="37"/>
        </w:rPr>
        <w:t>.</w:t>
      </w:r>
    </w:p>
    <w:p>
      <w:pPr>
        <w:spacing w:line="397" w:lineRule="exact" w:before="8"/>
        <w:ind w:left="128" w:right="0" w:firstLine="0"/>
        <w:jc w:val="left"/>
        <w:rPr>
          <w:rFonts w:ascii="Arial"/>
          <w:sz w:val="37"/>
        </w:rPr>
      </w:pPr>
      <w:r>
        <w:rPr>
          <w:rFonts w:ascii="Arial"/>
          <w:color w:val="FDFDFD"/>
          <w:w w:val="99"/>
          <w:sz w:val="37"/>
        </w:rPr>
        <w:t>.</w:t>
      </w:r>
    </w:p>
    <w:p>
      <w:pPr>
        <w:tabs>
          <w:tab w:pos="12694" w:val="left" w:leader="none"/>
        </w:tabs>
        <w:spacing w:line="435" w:lineRule="exact" w:before="0"/>
        <w:ind w:left="128" w:right="0" w:firstLine="0"/>
        <w:jc w:val="left"/>
        <w:rPr>
          <w:rFonts w:ascii="Arial"/>
          <w:sz w:val="29"/>
        </w:rPr>
      </w:pPr>
      <w:r>
        <w:rPr>
          <w:rFonts w:ascii="Arial"/>
          <w:color w:val="FDFDFD"/>
          <w:position w:val="-10"/>
          <w:sz w:val="37"/>
        </w:rPr>
        <w:t>. </w:t>
      </w:r>
      <w:r>
        <w:rPr>
          <w:rFonts w:ascii="Arial"/>
          <w:position w:val="-5"/>
          <w:sz w:val="29"/>
        </w:rPr>
        <w:t>13 </w:t>
      </w:r>
      <w:r>
        <w:rPr>
          <w:rFonts w:ascii="Arial"/>
          <w:spacing w:val="26"/>
          <w:position w:val="-5"/>
          <w:sz w:val="29"/>
        </w:rPr>
        <w:t> </w:t>
      </w:r>
      <w:r>
        <w:rPr>
          <w:rFonts w:ascii="Arial"/>
          <w:sz w:val="29"/>
        </w:rPr>
        <w:t>Otros</w:t>
      </w:r>
      <w:r>
        <w:rPr>
          <w:rFonts w:ascii="Arial"/>
          <w:spacing w:val="13"/>
          <w:sz w:val="29"/>
        </w:rPr>
        <w:t> </w:t>
      </w:r>
      <w:r>
        <w:rPr>
          <w:rFonts w:ascii="Arial"/>
          <w:sz w:val="29"/>
        </w:rPr>
        <w:t>resultados</w:t>
        <w:tab/>
        <w:t>125,92</w:t>
      </w:r>
    </w:p>
    <w:p>
      <w:pPr>
        <w:spacing w:line="402" w:lineRule="exact" w:before="0"/>
        <w:ind w:left="128" w:right="0" w:firstLine="0"/>
        <w:jc w:val="left"/>
        <w:rPr>
          <w:rFonts w:ascii="Arial"/>
          <w:sz w:val="37"/>
        </w:rPr>
      </w:pPr>
      <w:r>
        <w:rPr>
          <w:rFonts w:ascii="Arial"/>
          <w:color w:val="FDFDFD"/>
          <w:w w:val="99"/>
          <w:sz w:val="37"/>
        </w:rPr>
        <w:t>.</w:t>
      </w:r>
    </w:p>
    <w:p>
      <w:pPr>
        <w:tabs>
          <w:tab w:pos="12283" w:val="left" w:leader="none"/>
          <w:tab w:pos="16512" w:val="left" w:leader="none"/>
        </w:tabs>
        <w:spacing w:line="441" w:lineRule="exact" w:before="19"/>
        <w:ind w:left="128" w:right="0" w:firstLine="0"/>
        <w:jc w:val="left"/>
        <w:rPr>
          <w:rFonts w:ascii="Arial"/>
          <w:b/>
          <w:i/>
          <w:sz w:val="29"/>
        </w:rPr>
      </w:pPr>
      <w:r>
        <w:rPr>
          <w:rFonts w:ascii="Arial"/>
          <w:color w:val="FDFDFD"/>
          <w:position w:val="-10"/>
          <w:sz w:val="37"/>
        </w:rPr>
        <w:t>. </w:t>
      </w:r>
      <w:r>
        <w:rPr>
          <w:rFonts w:ascii="Arial"/>
          <w:b/>
          <w:i/>
          <w:position w:val="-5"/>
          <w:sz w:val="29"/>
        </w:rPr>
        <w:t>A  </w:t>
      </w:r>
      <w:r>
        <w:rPr>
          <w:rFonts w:ascii="Arial"/>
          <w:b/>
          <w:i/>
          <w:sz w:val="29"/>
        </w:rPr>
        <w:t>RESULTADO</w:t>
      </w:r>
      <w:r>
        <w:rPr>
          <w:rFonts w:ascii="Arial"/>
          <w:b/>
          <w:i/>
          <w:spacing w:val="72"/>
          <w:sz w:val="29"/>
        </w:rPr>
        <w:t> </w:t>
      </w:r>
      <w:r>
        <w:rPr>
          <w:rFonts w:ascii="Arial"/>
          <w:b/>
          <w:i/>
          <w:sz w:val="29"/>
        </w:rPr>
        <w:t>DE</w:t>
      </w:r>
      <w:r>
        <w:rPr>
          <w:rFonts w:ascii="Arial"/>
          <w:b/>
          <w:i/>
          <w:spacing w:val="21"/>
          <w:sz w:val="29"/>
        </w:rPr>
        <w:t> </w:t>
      </w:r>
      <w:r>
        <w:rPr>
          <w:rFonts w:ascii="Arial"/>
          <w:b/>
          <w:i/>
          <w:sz w:val="29"/>
        </w:rPr>
        <w:t>EXPLOTACION</w:t>
        <w:tab/>
        <w:t>31.904,79</w:t>
        <w:tab/>
        <w:t>-29.637,35</w:t>
      </w:r>
    </w:p>
    <w:p>
      <w:pPr>
        <w:spacing w:line="406" w:lineRule="exact" w:before="0"/>
        <w:ind w:left="128" w:right="0" w:firstLine="0"/>
        <w:jc w:val="left"/>
        <w:rPr>
          <w:rFonts w:ascii="Arial"/>
          <w:sz w:val="37"/>
        </w:rPr>
      </w:pPr>
      <w:r>
        <w:rPr>
          <w:rFonts w:ascii="Arial"/>
          <w:color w:val="FDFDFD"/>
          <w:w w:val="99"/>
          <w:sz w:val="37"/>
        </w:rPr>
        <w:t>.</w:t>
      </w:r>
    </w:p>
    <w:p>
      <w:pPr>
        <w:spacing w:before="0"/>
        <w:ind w:left="128" w:right="0" w:firstLine="0"/>
        <w:jc w:val="left"/>
        <w:rPr>
          <w:rFonts w:ascii="Arial"/>
          <w:sz w:val="37"/>
        </w:rPr>
      </w:pPr>
      <w:r>
        <w:rPr>
          <w:rFonts w:ascii="Arial"/>
          <w:color w:val="FDFDFD"/>
          <w:w w:val="99"/>
          <w:sz w:val="37"/>
        </w:rPr>
        <w:t>.</w:t>
      </w:r>
    </w:p>
    <w:p>
      <w:pPr>
        <w:spacing w:before="7"/>
        <w:ind w:left="128" w:right="0" w:firstLine="0"/>
        <w:jc w:val="left"/>
        <w:rPr>
          <w:rFonts w:ascii="Arial"/>
          <w:sz w:val="37"/>
        </w:rPr>
      </w:pPr>
      <w:r>
        <w:rPr>
          <w:rFonts w:ascii="Arial"/>
          <w:color w:val="FDFDFD"/>
          <w:w w:val="99"/>
          <w:sz w:val="37"/>
        </w:rPr>
        <w:t>.</w:t>
      </w:r>
    </w:p>
    <w:p>
      <w:pPr>
        <w:tabs>
          <w:tab w:pos="12283" w:val="left" w:leader="none"/>
          <w:tab w:pos="16512" w:val="left" w:leader="none"/>
        </w:tabs>
        <w:spacing w:line="438" w:lineRule="exact" w:before="26"/>
        <w:ind w:left="128" w:right="0" w:firstLine="0"/>
        <w:jc w:val="left"/>
        <w:rPr>
          <w:rFonts w:ascii="Arial"/>
          <w:b/>
          <w:i/>
          <w:sz w:val="29"/>
        </w:rPr>
      </w:pPr>
      <w:r>
        <w:rPr>
          <w:rFonts w:ascii="Arial"/>
          <w:color w:val="FDFDFD"/>
          <w:position w:val="-10"/>
          <w:sz w:val="37"/>
        </w:rPr>
        <w:t>. </w:t>
      </w:r>
      <w:r>
        <w:rPr>
          <w:rFonts w:ascii="Arial"/>
          <w:b/>
          <w:i/>
          <w:position w:val="-5"/>
          <w:sz w:val="29"/>
        </w:rPr>
        <w:t>C  </w:t>
      </w:r>
      <w:r>
        <w:rPr>
          <w:rFonts w:ascii="Arial"/>
          <w:b/>
          <w:i/>
          <w:sz w:val="29"/>
        </w:rPr>
        <w:t>RESULTADOS  ANTES</w:t>
      </w:r>
      <w:r>
        <w:rPr>
          <w:rFonts w:ascii="Arial"/>
          <w:b/>
          <w:i/>
          <w:spacing w:val="14"/>
          <w:sz w:val="29"/>
        </w:rPr>
        <w:t> </w:t>
      </w:r>
      <w:r>
        <w:rPr>
          <w:rFonts w:ascii="Arial"/>
          <w:b/>
          <w:i/>
          <w:sz w:val="29"/>
        </w:rPr>
        <w:t>DE</w:t>
      </w:r>
      <w:r>
        <w:rPr>
          <w:rFonts w:ascii="Arial"/>
          <w:b/>
          <w:i/>
          <w:spacing w:val="21"/>
          <w:sz w:val="29"/>
        </w:rPr>
        <w:t> </w:t>
      </w:r>
      <w:r>
        <w:rPr>
          <w:rFonts w:ascii="Arial"/>
          <w:b/>
          <w:i/>
          <w:sz w:val="29"/>
        </w:rPr>
        <w:t>IMPUESTOS</w:t>
        <w:tab/>
        <w:t>31.904,79</w:t>
        <w:tab/>
        <w:t>-29.637,35</w:t>
      </w:r>
    </w:p>
    <w:p>
      <w:pPr>
        <w:spacing w:line="403" w:lineRule="exact" w:before="0"/>
        <w:ind w:left="128" w:right="0" w:firstLine="0"/>
        <w:jc w:val="left"/>
        <w:rPr>
          <w:rFonts w:ascii="Arial"/>
          <w:sz w:val="37"/>
        </w:rPr>
      </w:pPr>
      <w:r>
        <w:rPr>
          <w:rFonts w:ascii="Arial"/>
          <w:color w:val="FDFDFD"/>
          <w:w w:val="99"/>
          <w:sz w:val="37"/>
        </w:rPr>
        <w:t>.</w:t>
      </w:r>
    </w:p>
    <w:p>
      <w:pPr>
        <w:spacing w:before="0"/>
        <w:ind w:left="128" w:right="0" w:firstLine="0"/>
        <w:jc w:val="left"/>
        <w:rPr>
          <w:rFonts w:ascii="Arial"/>
          <w:sz w:val="37"/>
        </w:rPr>
      </w:pPr>
      <w:r>
        <w:rPr>
          <w:rFonts w:ascii="Arial"/>
          <w:color w:val="FDFDFD"/>
          <w:w w:val="99"/>
          <w:sz w:val="37"/>
        </w:rPr>
        <w:t>.</w:t>
      </w:r>
    </w:p>
    <w:p>
      <w:pPr>
        <w:spacing w:before="7"/>
        <w:ind w:left="128" w:right="0" w:firstLine="0"/>
        <w:jc w:val="left"/>
        <w:rPr>
          <w:rFonts w:ascii="Arial"/>
          <w:sz w:val="37"/>
        </w:rPr>
      </w:pPr>
      <w:r>
        <w:rPr>
          <w:rFonts w:ascii="Arial"/>
          <w:color w:val="FDFDFD"/>
          <w:w w:val="99"/>
          <w:sz w:val="37"/>
        </w:rPr>
        <w:t>.</w:t>
      </w:r>
    </w:p>
    <w:p>
      <w:pPr>
        <w:tabs>
          <w:tab w:pos="12283" w:val="left" w:leader="none"/>
          <w:tab w:pos="16512" w:val="left" w:leader="none"/>
        </w:tabs>
        <w:spacing w:before="25"/>
        <w:ind w:left="128" w:right="0" w:firstLine="0"/>
        <w:jc w:val="left"/>
        <w:rPr>
          <w:rFonts w:ascii="Arial"/>
          <w:b/>
          <w:i/>
          <w:sz w:val="29"/>
        </w:rPr>
      </w:pPr>
      <w:r>
        <w:rPr>
          <w:rFonts w:ascii="Arial"/>
          <w:color w:val="FDFDFD"/>
          <w:position w:val="-10"/>
          <w:sz w:val="37"/>
        </w:rPr>
        <w:t>. </w:t>
      </w:r>
      <w:r>
        <w:rPr>
          <w:rFonts w:ascii="Arial"/>
          <w:b/>
          <w:i/>
          <w:position w:val="-5"/>
          <w:sz w:val="29"/>
        </w:rPr>
        <w:t>D  </w:t>
      </w:r>
      <w:r>
        <w:rPr>
          <w:rFonts w:ascii="Arial"/>
          <w:b/>
          <w:i/>
          <w:sz w:val="29"/>
        </w:rPr>
        <w:t>RESULTADO</w:t>
      </w:r>
      <w:r>
        <w:rPr>
          <w:rFonts w:ascii="Arial"/>
          <w:b/>
          <w:i/>
          <w:spacing w:val="64"/>
          <w:sz w:val="29"/>
        </w:rPr>
        <w:t> </w:t>
      </w:r>
      <w:r>
        <w:rPr>
          <w:rFonts w:ascii="Arial"/>
          <w:b/>
          <w:i/>
          <w:sz w:val="29"/>
        </w:rPr>
        <w:t>DEL</w:t>
      </w:r>
      <w:r>
        <w:rPr>
          <w:rFonts w:ascii="Arial"/>
          <w:b/>
          <w:i/>
          <w:spacing w:val="21"/>
          <w:sz w:val="29"/>
        </w:rPr>
        <w:t> </w:t>
      </w:r>
      <w:r>
        <w:rPr>
          <w:rFonts w:ascii="Arial"/>
          <w:b/>
          <w:i/>
          <w:sz w:val="29"/>
        </w:rPr>
        <w:t>EJERCICIO</w:t>
        <w:tab/>
        <w:t>31.904,79</w:t>
        <w:tab/>
        <w:t>-29.637,35</w:t>
      </w:r>
    </w:p>
    <w:p>
      <w:pPr>
        <w:spacing w:after="0"/>
        <w:jc w:val="left"/>
        <w:rPr>
          <w:rFonts w:ascii="Arial"/>
          <w:sz w:val="29"/>
        </w:rPr>
        <w:sectPr>
          <w:type w:val="continuous"/>
          <w:pgSz w:w="22430" w:h="31660"/>
          <w:pgMar w:top="420" w:bottom="280" w:left="1220" w:right="1620"/>
        </w:sectPr>
      </w:pPr>
    </w:p>
    <w:p>
      <w:pPr>
        <w:pStyle w:val="BodyText"/>
        <w:ind w:left="339"/>
        <w:rPr>
          <w:rFonts w:ascii="Arial"/>
          <w:sz w:val="20"/>
        </w:rPr>
      </w:pPr>
      <w:r>
        <w:rPr>
          <w:rFonts w:ascii="Arial"/>
          <w:sz w:val="20"/>
        </w:rPr>
        <w:pict>
          <v:group style="width:955.95pt;height:92pt;mso-position-horizontal-relative:char;mso-position-vertical-relative:line" coordorigin="0,0" coordsize="19119,1840">
            <v:rect style="position:absolute;left:3;top:3;width:19111;height:1832" filled="false" stroked="true" strokeweight=".35468pt" strokecolor="#000000">
              <v:stroke dashstyle="solid"/>
            </v:rect>
            <v:shape style="position:absolute;left:18841;top:1157;width:186;height:333" type="#_x0000_t202" filled="false" stroked="false">
              <v:textbox inset="0,0,0,0">
                <w:txbxContent>
                  <w:p>
                    <w:pPr>
                      <w:spacing w:line="331" w:lineRule="exact" w:before="0"/>
                      <w:ind w:left="0" w:right="0" w:firstLine="0"/>
                      <w:jc w:val="left"/>
                      <w:rPr>
                        <w:rFonts w:ascii="Arial"/>
                        <w:sz w:val="29"/>
                      </w:rPr>
                    </w:pPr>
                    <w:r>
                      <w:rPr>
                        <w:rFonts w:ascii="Arial"/>
                        <w:w w:val="102"/>
                        <w:sz w:val="29"/>
                      </w:rPr>
                      <w:t>1</w:t>
                    </w:r>
                  </w:p>
                </w:txbxContent>
              </v:textbox>
              <w10:wrap type="none"/>
            </v:shape>
            <v:shape style="position:absolute;left:17613;top:1157;width:628;height:333" type="#_x0000_t202" filled="false" stroked="false">
              <v:textbox inset="0,0,0,0">
                <w:txbxContent>
                  <w:p>
                    <w:pPr>
                      <w:spacing w:line="331" w:lineRule="exact" w:before="0"/>
                      <w:ind w:left="0" w:right="0" w:firstLine="0"/>
                      <w:jc w:val="left"/>
                      <w:rPr>
                        <w:rFonts w:ascii="Arial" w:hAnsi="Arial"/>
                        <w:sz w:val="29"/>
                      </w:rPr>
                    </w:pPr>
                    <w:r>
                      <w:rPr>
                        <w:rFonts w:ascii="Arial" w:hAnsi="Arial"/>
                        <w:sz w:val="29"/>
                      </w:rPr>
                      <w:t>Pág.</w:t>
                    </w:r>
                  </w:p>
                </w:txbxContent>
              </v:textbox>
              <w10:wrap type="none"/>
            </v:shape>
            <v:shape style="position:absolute;left:9403;top:1267;width:4009;height:373" type="#_x0000_t202" filled="false" stroked="false">
              <v:textbox inset="0,0,0,0">
                <w:txbxContent>
                  <w:p>
                    <w:pPr>
                      <w:spacing w:line="372" w:lineRule="exact" w:before="0"/>
                      <w:ind w:left="0" w:right="0" w:firstLine="0"/>
                      <w:jc w:val="left"/>
                      <w:rPr>
                        <w:rFonts w:ascii="Arial"/>
                        <w:sz w:val="33"/>
                      </w:rPr>
                    </w:pPr>
                    <w:r>
                      <w:rPr>
                        <w:rFonts w:ascii="Arial"/>
                        <w:sz w:val="33"/>
                      </w:rPr>
                      <w:t>Periodo :</w:t>
                    </w:r>
                    <w:r>
                      <w:rPr>
                        <w:rFonts w:ascii="Arial"/>
                        <w:spacing w:val="87"/>
                        <w:sz w:val="33"/>
                      </w:rPr>
                      <w:t> </w:t>
                    </w:r>
                    <w:r>
                      <w:rPr>
                        <w:rFonts w:ascii="Arial"/>
                        <w:spacing w:val="-3"/>
                        <w:sz w:val="33"/>
                      </w:rPr>
                      <w:t>01-2025/12-2025</w:t>
                    </w:r>
                  </w:p>
                </w:txbxContent>
              </v:textbox>
              <w10:wrap type="none"/>
            </v:shape>
            <v:shape style="position:absolute;left:115;top:1267;width:5002;height:373" type="#_x0000_t202" filled="false" stroked="false">
              <v:textbox inset="0,0,0,0">
                <w:txbxContent>
                  <w:p>
                    <w:pPr>
                      <w:tabs>
                        <w:tab w:pos="1809" w:val="left" w:leader="none"/>
                        <w:tab w:pos="4321" w:val="left" w:leader="none"/>
                      </w:tabs>
                      <w:spacing w:line="372" w:lineRule="exact" w:before="0"/>
                      <w:ind w:left="0" w:right="0" w:firstLine="0"/>
                      <w:jc w:val="left"/>
                      <w:rPr>
                        <w:rFonts w:ascii="Arial"/>
                        <w:sz w:val="29"/>
                      </w:rPr>
                    </w:pPr>
                    <w:r>
                      <w:rPr>
                        <w:rFonts w:ascii="Arial"/>
                        <w:sz w:val="33"/>
                      </w:rPr>
                      <w:t>Ejercicio</w:t>
                    </w:r>
                    <w:r>
                      <w:rPr>
                        <w:rFonts w:ascii="Arial"/>
                        <w:spacing w:val="8"/>
                        <w:sz w:val="33"/>
                      </w:rPr>
                      <w:t> </w:t>
                    </w:r>
                    <w:r>
                      <w:rPr>
                        <w:rFonts w:ascii="Arial"/>
                        <w:sz w:val="33"/>
                      </w:rPr>
                      <w:t>:</w:t>
                      <w:tab/>
                    </w:r>
                    <w:r>
                      <w:rPr>
                        <w:rFonts w:ascii="Arial"/>
                        <w:position w:val="3"/>
                        <w:sz w:val="29"/>
                      </w:rPr>
                      <w:t>2025</w:t>
                      <w:tab/>
                      <w:t>(Eur)</w:t>
                    </w:r>
                  </w:p>
                </w:txbxContent>
              </v:textbox>
              <w10:wrap type="none"/>
            </v:shape>
            <v:shape style="position:absolute;left:16208;top:181;width:2768;height:373" type="#_x0000_t202" filled="false" stroked="false">
              <v:textbox inset="0,0,0,0">
                <w:txbxContent>
                  <w:p>
                    <w:pPr>
                      <w:spacing w:line="372" w:lineRule="exact" w:before="0"/>
                      <w:ind w:left="0" w:right="0" w:firstLine="0"/>
                      <w:jc w:val="left"/>
                      <w:rPr>
                        <w:rFonts w:ascii="Arial"/>
                        <w:sz w:val="33"/>
                      </w:rPr>
                    </w:pPr>
                    <w:r>
                      <w:rPr>
                        <w:rFonts w:ascii="Arial"/>
                        <w:position w:val="3"/>
                        <w:sz w:val="29"/>
                      </w:rPr>
                      <w:t>Fecha : </w:t>
                    </w:r>
                    <w:r>
                      <w:rPr>
                        <w:rFonts w:ascii="Arial"/>
                        <w:sz w:val="33"/>
                      </w:rPr>
                      <w:t>16/03/2026</w:t>
                    </w:r>
                  </w:p>
                </w:txbxContent>
              </v:textbox>
              <w10:wrap type="none"/>
            </v:shape>
            <v:shape style="position:absolute;left:1406;top:181;width:11598;height:936" type="#_x0000_t202" filled="false" stroked="false">
              <v:textbox inset="0,0,0,0">
                <w:txbxContent>
                  <w:p>
                    <w:pPr>
                      <w:spacing w:line="372" w:lineRule="exact" w:before="0"/>
                      <w:ind w:left="0" w:right="0" w:firstLine="0"/>
                      <w:jc w:val="left"/>
                      <w:rPr>
                        <w:rFonts w:ascii="Arial"/>
                        <w:b/>
                        <w:sz w:val="33"/>
                      </w:rPr>
                    </w:pPr>
                    <w:r>
                      <w:rPr>
                        <w:rFonts w:ascii="Arial"/>
                        <w:b/>
                        <w:position w:val="3"/>
                        <w:sz w:val="29"/>
                      </w:rPr>
                      <w:t>) </w:t>
                    </w:r>
                    <w:r>
                      <w:rPr>
                        <w:rFonts w:ascii="Arial"/>
                        <w:b/>
                        <w:sz w:val="33"/>
                      </w:rPr>
                      <w:t>MEDIOS DE COMUNICACION MUNICI</w:t>
                    </w:r>
                  </w:p>
                  <w:p>
                    <w:pPr>
                      <w:spacing w:before="57"/>
                      <w:ind w:left="4605" w:right="0" w:firstLine="0"/>
                      <w:jc w:val="left"/>
                      <w:rPr>
                        <w:rFonts w:ascii="Arial" w:hAnsi="Arial"/>
                        <w:sz w:val="44"/>
                      </w:rPr>
                    </w:pPr>
                    <w:r>
                      <w:rPr>
                        <w:rFonts w:ascii="Arial" w:hAnsi="Arial"/>
                        <w:w w:val="115"/>
                        <w:sz w:val="44"/>
                      </w:rPr>
                      <w:t>Balance</w:t>
                    </w:r>
                    <w:r>
                      <w:rPr>
                        <w:rFonts w:ascii="Arial" w:hAnsi="Arial"/>
                        <w:spacing w:val="-65"/>
                        <w:w w:val="115"/>
                        <w:sz w:val="44"/>
                      </w:rPr>
                      <w:t> </w:t>
                    </w:r>
                    <w:r>
                      <w:rPr>
                        <w:rFonts w:ascii="Arial" w:hAnsi="Arial"/>
                        <w:w w:val="115"/>
                        <w:sz w:val="44"/>
                      </w:rPr>
                      <w:t>de</w:t>
                    </w:r>
                    <w:r>
                      <w:rPr>
                        <w:rFonts w:ascii="Arial" w:hAnsi="Arial"/>
                        <w:spacing w:val="-69"/>
                        <w:w w:val="115"/>
                        <w:sz w:val="44"/>
                      </w:rPr>
                      <w:t> </w:t>
                    </w:r>
                    <w:r>
                      <w:rPr>
                        <w:rFonts w:ascii="Arial" w:hAnsi="Arial"/>
                        <w:w w:val="115"/>
                        <w:sz w:val="44"/>
                      </w:rPr>
                      <w:t>Situación</w:t>
                    </w:r>
                    <w:r>
                      <w:rPr>
                        <w:rFonts w:ascii="Arial" w:hAnsi="Arial"/>
                        <w:spacing w:val="-66"/>
                        <w:w w:val="115"/>
                        <w:sz w:val="44"/>
                      </w:rPr>
                      <w:t> </w:t>
                    </w:r>
                    <w:r>
                      <w:rPr>
                        <w:rFonts w:ascii="Arial" w:hAnsi="Arial"/>
                        <w:w w:val="115"/>
                        <w:sz w:val="44"/>
                      </w:rPr>
                      <w:t>Abreviado</w:t>
                    </w:r>
                  </w:p>
                </w:txbxContent>
              </v:textbox>
              <w10:wrap type="none"/>
            </v:shape>
            <v:shape style="position:absolute;left:115;top:185;width:1030;height:333" type="#_x0000_t202" filled="false" stroked="false">
              <v:textbox inset="0,0,0,0">
                <w:txbxContent>
                  <w:p>
                    <w:pPr>
                      <w:spacing w:line="331" w:lineRule="exact" w:before="0"/>
                      <w:ind w:left="0" w:right="0" w:firstLine="0"/>
                      <w:jc w:val="left"/>
                      <w:rPr>
                        <w:rFonts w:ascii="Arial"/>
                        <w:b/>
                        <w:sz w:val="29"/>
                      </w:rPr>
                    </w:pPr>
                    <w:r>
                      <w:rPr>
                        <w:rFonts w:ascii="Arial"/>
                        <w:b/>
                        <w:w w:val="105"/>
                        <w:sz w:val="29"/>
                      </w:rPr>
                      <w:t>(</w:t>
                    </w:r>
                    <w:r>
                      <w:rPr>
                        <w:rFonts w:ascii="Arial"/>
                        <w:b/>
                        <w:spacing w:val="-21"/>
                        <w:w w:val="105"/>
                        <w:sz w:val="29"/>
                      </w:rPr>
                      <w:t> </w:t>
                    </w:r>
                    <w:r>
                      <w:rPr>
                        <w:rFonts w:ascii="Arial"/>
                        <w:b/>
                        <w:w w:val="105"/>
                        <w:sz w:val="29"/>
                      </w:rPr>
                      <w:t>00347</w:t>
                    </w:r>
                  </w:p>
                </w:txbxContent>
              </v:textbox>
              <w10:wrap type="none"/>
            </v:shape>
          </v:group>
        </w:pict>
      </w:r>
      <w:r>
        <w:rPr>
          <w:rFonts w:ascii="Arial"/>
          <w:sz w:val="20"/>
        </w:rPr>
      </w: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3"/>
        <w:rPr>
          <w:rFonts w:ascii="Arial"/>
          <w:b/>
          <w:i/>
          <w:sz w:val="24"/>
        </w:rPr>
      </w:pPr>
    </w:p>
    <w:p>
      <w:pPr>
        <w:spacing w:after="0"/>
        <w:rPr>
          <w:rFonts w:ascii="Arial"/>
          <w:sz w:val="24"/>
        </w:rPr>
        <w:sectPr>
          <w:pgSz w:w="22430" w:h="31660"/>
          <w:pgMar w:top="420" w:bottom="280" w:left="1220" w:right="1620"/>
        </w:sectPr>
      </w:pPr>
    </w:p>
    <w:p>
      <w:pPr>
        <w:spacing w:before="87"/>
        <w:ind w:left="114" w:right="0" w:firstLine="0"/>
        <w:jc w:val="left"/>
        <w:rPr>
          <w:rFonts w:ascii="Arial"/>
          <w:sz w:val="37"/>
        </w:rPr>
      </w:pPr>
      <w:r>
        <w:rPr/>
        <w:pict>
          <v:shape style="position:absolute;margin-left:78.053001pt;margin-top:-46.073135pt;width:956.2pt;height:390.25pt;mso-position-horizontal-relative:page;mso-position-vertical-relative:paragraph;z-index:25167769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61"/>
                    <w:gridCol w:w="5610"/>
                    <w:gridCol w:w="4352"/>
                  </w:tblGrid>
                  <w:tr>
                    <w:trPr>
                      <w:trHeight w:val="829" w:hRule="atLeast"/>
                    </w:trPr>
                    <w:tc>
                      <w:tcPr>
                        <w:tcW w:w="19123" w:type="dxa"/>
                        <w:gridSpan w:val="3"/>
                        <w:tcBorders>
                          <w:bottom w:val="single" w:sz="4" w:space="0" w:color="000000"/>
                        </w:tcBorders>
                      </w:tcPr>
                      <w:p>
                        <w:pPr>
                          <w:pStyle w:val="TableParagraph"/>
                          <w:spacing w:line="298" w:lineRule="exact" w:before="0"/>
                          <w:ind w:left="8397" w:right="9145"/>
                          <w:jc w:val="center"/>
                          <w:rPr>
                            <w:rFonts w:ascii="Arial"/>
                            <w:sz w:val="29"/>
                          </w:rPr>
                        </w:pPr>
                        <w:r>
                          <w:rPr>
                            <w:rFonts w:ascii="Arial"/>
                            <w:w w:val="105"/>
                            <w:sz w:val="29"/>
                          </w:rPr>
                          <w:t>Notas de la</w:t>
                        </w:r>
                      </w:p>
                      <w:p>
                        <w:pPr>
                          <w:pStyle w:val="TableParagraph"/>
                          <w:tabs>
                            <w:tab w:pos="11658" w:val="left" w:leader="none"/>
                            <w:tab w:pos="16724" w:val="right" w:leader="none"/>
                          </w:tabs>
                          <w:spacing w:line="408" w:lineRule="exact" w:before="0"/>
                          <w:ind w:left="8642"/>
                          <w:jc w:val="left"/>
                          <w:rPr>
                            <w:rFonts w:ascii="Arial"/>
                            <w:b/>
                            <w:sz w:val="33"/>
                          </w:rPr>
                        </w:pPr>
                        <w:r>
                          <w:rPr>
                            <w:rFonts w:ascii="Arial"/>
                            <w:position w:val="-6"/>
                            <w:sz w:val="29"/>
                          </w:rPr>
                          <w:t>Memoria</w:t>
                          <w:tab/>
                        </w:r>
                        <w:r>
                          <w:rPr>
                            <w:rFonts w:ascii="Arial"/>
                            <w:b/>
                            <w:sz w:val="33"/>
                          </w:rPr>
                          <w:t>2025</w:t>
                          <w:tab/>
                          <w:t>2024</w:t>
                        </w:r>
                      </w:p>
                    </w:tc>
                  </w:tr>
                  <w:tr>
                    <w:trPr>
                      <w:trHeight w:val="554" w:hRule="atLeast"/>
                    </w:trPr>
                    <w:tc>
                      <w:tcPr>
                        <w:tcW w:w="9161" w:type="dxa"/>
                        <w:tcBorders>
                          <w:top w:val="single" w:sz="4" w:space="0" w:color="000000"/>
                        </w:tcBorders>
                      </w:tcPr>
                      <w:p>
                        <w:pPr>
                          <w:pStyle w:val="TableParagraph"/>
                          <w:spacing w:before="180"/>
                          <w:ind w:left="141"/>
                          <w:jc w:val="left"/>
                          <w:rPr>
                            <w:rFonts w:ascii="Arial"/>
                            <w:b/>
                            <w:i/>
                            <w:sz w:val="29"/>
                          </w:rPr>
                        </w:pPr>
                        <w:r>
                          <w:rPr>
                            <w:rFonts w:ascii="Arial"/>
                            <w:b/>
                            <w:i/>
                            <w:w w:val="105"/>
                            <w:sz w:val="29"/>
                          </w:rPr>
                          <w:t>=== A C T I V O</w:t>
                        </w:r>
                        <w:r>
                          <w:rPr>
                            <w:rFonts w:ascii="Arial"/>
                            <w:b/>
                            <w:i/>
                            <w:spacing w:val="56"/>
                            <w:w w:val="105"/>
                            <w:sz w:val="29"/>
                          </w:rPr>
                          <w:t> </w:t>
                        </w:r>
                        <w:r>
                          <w:rPr>
                            <w:rFonts w:ascii="Arial"/>
                            <w:b/>
                            <w:i/>
                            <w:w w:val="105"/>
                            <w:sz w:val="29"/>
                          </w:rPr>
                          <w:t>======================</w:t>
                        </w:r>
                      </w:p>
                    </w:tc>
                    <w:tc>
                      <w:tcPr>
                        <w:tcW w:w="5610" w:type="dxa"/>
                        <w:tcBorders>
                          <w:top w:val="single" w:sz="4" w:space="0" w:color="000000"/>
                        </w:tcBorders>
                      </w:tcPr>
                      <w:p>
                        <w:pPr>
                          <w:pStyle w:val="TableParagraph"/>
                          <w:spacing w:before="0"/>
                          <w:jc w:val="left"/>
                          <w:rPr>
                            <w:rFonts w:ascii="Times New Roman"/>
                            <w:sz w:val="30"/>
                          </w:rPr>
                        </w:pPr>
                      </w:p>
                    </w:tc>
                    <w:tc>
                      <w:tcPr>
                        <w:tcW w:w="4352" w:type="dxa"/>
                        <w:tcBorders>
                          <w:top w:val="single" w:sz="4" w:space="0" w:color="000000"/>
                        </w:tcBorders>
                      </w:tcPr>
                      <w:p>
                        <w:pPr>
                          <w:pStyle w:val="TableParagraph"/>
                          <w:spacing w:before="0"/>
                          <w:jc w:val="left"/>
                          <w:rPr>
                            <w:rFonts w:ascii="Times New Roman"/>
                            <w:sz w:val="30"/>
                          </w:rPr>
                        </w:pPr>
                      </w:p>
                    </w:tc>
                  </w:tr>
                  <w:tr>
                    <w:trPr>
                      <w:trHeight w:val="432" w:hRule="atLeast"/>
                    </w:trPr>
                    <w:tc>
                      <w:tcPr>
                        <w:tcW w:w="9161" w:type="dxa"/>
                      </w:tcPr>
                      <w:p>
                        <w:pPr>
                          <w:pStyle w:val="TableParagraph"/>
                          <w:spacing w:before="37"/>
                          <w:ind w:left="141"/>
                          <w:jc w:val="left"/>
                          <w:rPr>
                            <w:rFonts w:ascii="Arial"/>
                            <w:b/>
                            <w:sz w:val="29"/>
                          </w:rPr>
                        </w:pPr>
                        <w:r>
                          <w:rPr>
                            <w:rFonts w:ascii="Arial"/>
                            <w:b/>
                            <w:w w:val="105"/>
                            <w:sz w:val="29"/>
                          </w:rPr>
                          <w:t>A) ACTIVO NO CORRIENTE</w:t>
                        </w:r>
                      </w:p>
                    </w:tc>
                    <w:tc>
                      <w:tcPr>
                        <w:tcW w:w="5610" w:type="dxa"/>
                      </w:tcPr>
                      <w:p>
                        <w:pPr>
                          <w:pStyle w:val="TableParagraph"/>
                          <w:spacing w:before="0"/>
                          <w:jc w:val="left"/>
                          <w:rPr>
                            <w:rFonts w:ascii="Times New Roman"/>
                            <w:sz w:val="30"/>
                          </w:rPr>
                        </w:pPr>
                      </w:p>
                    </w:tc>
                    <w:tc>
                      <w:tcPr>
                        <w:tcW w:w="4352" w:type="dxa"/>
                      </w:tcPr>
                      <w:p>
                        <w:pPr>
                          <w:pStyle w:val="TableParagraph"/>
                          <w:spacing w:before="37"/>
                          <w:ind w:right="1528"/>
                          <w:rPr>
                            <w:rFonts w:ascii="Arial"/>
                            <w:b/>
                            <w:sz w:val="29"/>
                          </w:rPr>
                        </w:pPr>
                        <w:r>
                          <w:rPr>
                            <w:rFonts w:ascii="Arial"/>
                            <w:b/>
                            <w:sz w:val="29"/>
                          </w:rPr>
                          <w:t>34.770,75</w:t>
                        </w:r>
                      </w:p>
                    </w:tc>
                  </w:tr>
                  <w:tr>
                    <w:trPr>
                      <w:trHeight w:val="433" w:hRule="atLeast"/>
                    </w:trPr>
                    <w:tc>
                      <w:tcPr>
                        <w:tcW w:w="9161" w:type="dxa"/>
                      </w:tcPr>
                      <w:p>
                        <w:pPr>
                          <w:pStyle w:val="TableParagraph"/>
                          <w:spacing w:before="58"/>
                          <w:ind w:left="390"/>
                          <w:jc w:val="left"/>
                          <w:rPr>
                            <w:rFonts w:ascii="Arial"/>
                            <w:sz w:val="29"/>
                          </w:rPr>
                        </w:pPr>
                        <w:r>
                          <w:rPr>
                            <w:rFonts w:ascii="Arial"/>
                            <w:w w:val="105"/>
                            <w:sz w:val="29"/>
                          </w:rPr>
                          <w:t>II Inmovilizado material</w:t>
                        </w:r>
                      </w:p>
                    </w:tc>
                    <w:tc>
                      <w:tcPr>
                        <w:tcW w:w="5610" w:type="dxa"/>
                      </w:tcPr>
                      <w:p>
                        <w:pPr>
                          <w:pStyle w:val="TableParagraph"/>
                          <w:spacing w:before="0"/>
                          <w:jc w:val="left"/>
                          <w:rPr>
                            <w:rFonts w:ascii="Times New Roman"/>
                            <w:sz w:val="30"/>
                          </w:rPr>
                        </w:pPr>
                      </w:p>
                    </w:tc>
                    <w:tc>
                      <w:tcPr>
                        <w:tcW w:w="4352" w:type="dxa"/>
                      </w:tcPr>
                      <w:p>
                        <w:pPr>
                          <w:pStyle w:val="TableParagraph"/>
                          <w:spacing w:before="58"/>
                          <w:ind w:right="1528"/>
                          <w:rPr>
                            <w:rFonts w:ascii="Arial"/>
                            <w:sz w:val="29"/>
                          </w:rPr>
                        </w:pPr>
                        <w:r>
                          <w:rPr>
                            <w:rFonts w:ascii="Arial"/>
                            <w:sz w:val="29"/>
                          </w:rPr>
                          <w:t>34.770,75</w:t>
                        </w:r>
                      </w:p>
                    </w:tc>
                  </w:tr>
                  <w:tr>
                    <w:trPr>
                      <w:trHeight w:val="429" w:hRule="atLeast"/>
                    </w:trPr>
                    <w:tc>
                      <w:tcPr>
                        <w:tcW w:w="9161" w:type="dxa"/>
                      </w:tcPr>
                      <w:p>
                        <w:pPr>
                          <w:pStyle w:val="TableParagraph"/>
                          <w:spacing w:before="37"/>
                          <w:ind w:left="141"/>
                          <w:jc w:val="left"/>
                          <w:rPr>
                            <w:rFonts w:ascii="Arial"/>
                            <w:b/>
                            <w:sz w:val="29"/>
                          </w:rPr>
                        </w:pPr>
                        <w:r>
                          <w:rPr>
                            <w:rFonts w:ascii="Arial"/>
                            <w:b/>
                            <w:w w:val="105"/>
                            <w:sz w:val="29"/>
                          </w:rPr>
                          <w:t>B) ACTIVO CORRIENTE</w:t>
                        </w:r>
                      </w:p>
                    </w:tc>
                    <w:tc>
                      <w:tcPr>
                        <w:tcW w:w="5610" w:type="dxa"/>
                      </w:tcPr>
                      <w:p>
                        <w:pPr>
                          <w:pStyle w:val="TableParagraph"/>
                          <w:spacing w:before="37"/>
                          <w:ind w:right="1490"/>
                          <w:rPr>
                            <w:rFonts w:ascii="Arial"/>
                            <w:b/>
                            <w:sz w:val="29"/>
                          </w:rPr>
                        </w:pPr>
                        <w:r>
                          <w:rPr>
                            <w:rFonts w:ascii="Arial"/>
                            <w:b/>
                            <w:sz w:val="29"/>
                          </w:rPr>
                          <w:t>53.584,73</w:t>
                        </w:r>
                      </w:p>
                    </w:tc>
                    <w:tc>
                      <w:tcPr>
                        <w:tcW w:w="4352" w:type="dxa"/>
                      </w:tcPr>
                      <w:p>
                        <w:pPr>
                          <w:pStyle w:val="TableParagraph"/>
                          <w:spacing w:before="37"/>
                          <w:ind w:right="1528"/>
                          <w:rPr>
                            <w:rFonts w:ascii="Arial"/>
                            <w:b/>
                            <w:sz w:val="29"/>
                          </w:rPr>
                        </w:pPr>
                        <w:r>
                          <w:rPr>
                            <w:rFonts w:ascii="Arial"/>
                            <w:b/>
                            <w:sz w:val="29"/>
                          </w:rPr>
                          <w:t>45.591,20</w:t>
                        </w:r>
                      </w:p>
                    </w:tc>
                  </w:tr>
                  <w:tr>
                    <w:trPr>
                      <w:trHeight w:val="429" w:hRule="atLeast"/>
                    </w:trPr>
                    <w:tc>
                      <w:tcPr>
                        <w:tcW w:w="9161" w:type="dxa"/>
                      </w:tcPr>
                      <w:p>
                        <w:pPr>
                          <w:pStyle w:val="TableParagraph"/>
                          <w:spacing w:before="54"/>
                          <w:ind w:left="390"/>
                          <w:jc w:val="left"/>
                          <w:rPr>
                            <w:rFonts w:ascii="Arial"/>
                            <w:b/>
                            <w:sz w:val="29"/>
                          </w:rPr>
                        </w:pPr>
                        <w:r>
                          <w:rPr>
                            <w:rFonts w:ascii="Arial"/>
                            <w:b/>
                            <w:w w:val="105"/>
                            <w:sz w:val="29"/>
                          </w:rPr>
                          <w:t>III Deudores ciales.y otras ctas.a cobrar</w:t>
                        </w:r>
                      </w:p>
                    </w:tc>
                    <w:tc>
                      <w:tcPr>
                        <w:tcW w:w="5610" w:type="dxa"/>
                      </w:tcPr>
                      <w:p>
                        <w:pPr>
                          <w:pStyle w:val="TableParagraph"/>
                          <w:spacing w:before="54"/>
                          <w:ind w:right="1490"/>
                          <w:rPr>
                            <w:rFonts w:ascii="Arial"/>
                            <w:b/>
                            <w:sz w:val="29"/>
                          </w:rPr>
                        </w:pPr>
                        <w:r>
                          <w:rPr>
                            <w:rFonts w:ascii="Arial"/>
                            <w:b/>
                            <w:sz w:val="29"/>
                          </w:rPr>
                          <w:t>10.728,73</w:t>
                        </w:r>
                      </w:p>
                    </w:tc>
                    <w:tc>
                      <w:tcPr>
                        <w:tcW w:w="4352" w:type="dxa"/>
                      </w:tcPr>
                      <w:p>
                        <w:pPr>
                          <w:pStyle w:val="TableParagraph"/>
                          <w:spacing w:before="54"/>
                          <w:ind w:right="1529"/>
                          <w:rPr>
                            <w:rFonts w:ascii="Arial"/>
                            <w:b/>
                            <w:sz w:val="29"/>
                          </w:rPr>
                        </w:pPr>
                        <w:r>
                          <w:rPr>
                            <w:rFonts w:ascii="Arial"/>
                            <w:b/>
                            <w:sz w:val="29"/>
                          </w:rPr>
                          <w:t>6.841,25</w:t>
                        </w:r>
                      </w:p>
                    </w:tc>
                  </w:tr>
                  <w:tr>
                    <w:trPr>
                      <w:trHeight w:val="432" w:hRule="atLeast"/>
                    </w:trPr>
                    <w:tc>
                      <w:tcPr>
                        <w:tcW w:w="9161" w:type="dxa"/>
                      </w:tcPr>
                      <w:p>
                        <w:pPr>
                          <w:pStyle w:val="TableParagraph"/>
                          <w:spacing w:before="37"/>
                          <w:ind w:left="645"/>
                          <w:jc w:val="left"/>
                          <w:rPr>
                            <w:rFonts w:ascii="Arial"/>
                            <w:sz w:val="29"/>
                          </w:rPr>
                        </w:pPr>
                        <w:r>
                          <w:rPr>
                            <w:rFonts w:ascii="Arial"/>
                            <w:w w:val="105"/>
                            <w:sz w:val="29"/>
                          </w:rPr>
                          <w:t>1 Clientes por ventas y prest.servicios</w:t>
                        </w:r>
                      </w:p>
                    </w:tc>
                    <w:tc>
                      <w:tcPr>
                        <w:tcW w:w="5610" w:type="dxa"/>
                      </w:tcPr>
                      <w:p>
                        <w:pPr>
                          <w:pStyle w:val="TableParagraph"/>
                          <w:spacing w:before="37"/>
                          <w:ind w:right="1498"/>
                          <w:rPr>
                            <w:rFonts w:ascii="Arial"/>
                            <w:sz w:val="29"/>
                          </w:rPr>
                        </w:pPr>
                        <w:r>
                          <w:rPr>
                            <w:rFonts w:ascii="Arial"/>
                            <w:sz w:val="29"/>
                          </w:rPr>
                          <w:t>4.149,97</w:t>
                        </w:r>
                      </w:p>
                    </w:tc>
                    <w:tc>
                      <w:tcPr>
                        <w:tcW w:w="4352" w:type="dxa"/>
                      </w:tcPr>
                      <w:p>
                        <w:pPr>
                          <w:pStyle w:val="TableParagraph"/>
                          <w:spacing w:before="37"/>
                          <w:ind w:right="1529"/>
                          <w:rPr>
                            <w:rFonts w:ascii="Arial"/>
                            <w:sz w:val="29"/>
                          </w:rPr>
                        </w:pPr>
                        <w:r>
                          <w:rPr>
                            <w:rFonts w:ascii="Arial"/>
                            <w:sz w:val="29"/>
                          </w:rPr>
                          <w:t>4.905,12</w:t>
                        </w:r>
                      </w:p>
                    </w:tc>
                  </w:tr>
                  <w:tr>
                    <w:trPr>
                      <w:trHeight w:val="872" w:hRule="atLeast"/>
                    </w:trPr>
                    <w:tc>
                      <w:tcPr>
                        <w:tcW w:w="9161" w:type="dxa"/>
                      </w:tcPr>
                      <w:p>
                        <w:pPr>
                          <w:pStyle w:val="TableParagraph"/>
                          <w:spacing w:before="58"/>
                          <w:ind w:left="894"/>
                          <w:jc w:val="left"/>
                          <w:rPr>
                            <w:rFonts w:ascii="Arial"/>
                            <w:sz w:val="29"/>
                          </w:rPr>
                        </w:pPr>
                        <w:r>
                          <w:rPr>
                            <w:rFonts w:ascii="Arial"/>
                            <w:w w:val="105"/>
                            <w:sz w:val="29"/>
                          </w:rPr>
                          <w:t>b) Clientes por Vtas y prest serv c/p</w:t>
                        </w:r>
                      </w:p>
                      <w:p>
                        <w:pPr>
                          <w:pStyle w:val="TableParagraph"/>
                          <w:spacing w:before="99"/>
                          <w:ind w:left="645"/>
                          <w:jc w:val="left"/>
                          <w:rPr>
                            <w:rFonts w:ascii="Arial"/>
                            <w:sz w:val="29"/>
                          </w:rPr>
                        </w:pPr>
                        <w:r>
                          <w:rPr>
                            <w:rFonts w:ascii="Arial"/>
                            <w:w w:val="105"/>
                            <w:sz w:val="29"/>
                          </w:rPr>
                          <w:t>3 Otros deudores</w:t>
                        </w:r>
                      </w:p>
                    </w:tc>
                    <w:tc>
                      <w:tcPr>
                        <w:tcW w:w="5610" w:type="dxa"/>
                      </w:tcPr>
                      <w:p>
                        <w:pPr>
                          <w:pStyle w:val="TableParagraph"/>
                          <w:spacing w:before="58"/>
                          <w:ind w:left="2937"/>
                          <w:jc w:val="left"/>
                          <w:rPr>
                            <w:rFonts w:ascii="Arial"/>
                            <w:sz w:val="29"/>
                          </w:rPr>
                        </w:pPr>
                        <w:r>
                          <w:rPr>
                            <w:rFonts w:ascii="Arial"/>
                            <w:w w:val="105"/>
                            <w:sz w:val="29"/>
                          </w:rPr>
                          <w:t>4.149,97</w:t>
                        </w:r>
                      </w:p>
                      <w:p>
                        <w:pPr>
                          <w:pStyle w:val="TableParagraph"/>
                          <w:spacing w:before="99"/>
                          <w:ind w:left="2937"/>
                          <w:jc w:val="left"/>
                          <w:rPr>
                            <w:rFonts w:ascii="Arial"/>
                            <w:sz w:val="29"/>
                          </w:rPr>
                        </w:pPr>
                        <w:r>
                          <w:rPr>
                            <w:rFonts w:ascii="Arial"/>
                            <w:w w:val="105"/>
                            <w:sz w:val="29"/>
                          </w:rPr>
                          <w:t>6.578,76</w:t>
                        </w:r>
                      </w:p>
                    </w:tc>
                    <w:tc>
                      <w:tcPr>
                        <w:tcW w:w="4352" w:type="dxa"/>
                      </w:tcPr>
                      <w:p>
                        <w:pPr>
                          <w:pStyle w:val="TableParagraph"/>
                          <w:spacing w:before="58"/>
                          <w:ind w:left="1618" w:right="1508"/>
                          <w:jc w:val="center"/>
                          <w:rPr>
                            <w:rFonts w:ascii="Arial"/>
                            <w:sz w:val="29"/>
                          </w:rPr>
                        </w:pPr>
                        <w:r>
                          <w:rPr>
                            <w:rFonts w:ascii="Arial"/>
                            <w:w w:val="105"/>
                            <w:sz w:val="29"/>
                          </w:rPr>
                          <w:t>4.905,12</w:t>
                        </w:r>
                      </w:p>
                      <w:p>
                        <w:pPr>
                          <w:pStyle w:val="TableParagraph"/>
                          <w:spacing w:before="99"/>
                          <w:ind w:left="1618" w:right="1508"/>
                          <w:jc w:val="center"/>
                          <w:rPr>
                            <w:rFonts w:ascii="Arial"/>
                            <w:sz w:val="29"/>
                          </w:rPr>
                        </w:pPr>
                        <w:r>
                          <w:rPr>
                            <w:rFonts w:ascii="Arial"/>
                            <w:w w:val="105"/>
                            <w:sz w:val="29"/>
                          </w:rPr>
                          <w:t>1.936,13</w:t>
                        </w:r>
                      </w:p>
                    </w:tc>
                  </w:tr>
                  <w:tr>
                    <w:trPr>
                      <w:trHeight w:val="422" w:hRule="atLeast"/>
                    </w:trPr>
                    <w:tc>
                      <w:tcPr>
                        <w:tcW w:w="9161" w:type="dxa"/>
                      </w:tcPr>
                      <w:p>
                        <w:pPr>
                          <w:pStyle w:val="TableParagraph"/>
                          <w:spacing w:before="44"/>
                          <w:ind w:left="390"/>
                          <w:jc w:val="left"/>
                          <w:rPr>
                            <w:rFonts w:ascii="Arial"/>
                            <w:b/>
                            <w:sz w:val="29"/>
                          </w:rPr>
                        </w:pPr>
                        <w:r>
                          <w:rPr>
                            <w:rFonts w:ascii="Arial"/>
                            <w:b/>
                            <w:w w:val="105"/>
                            <w:sz w:val="29"/>
                          </w:rPr>
                          <w:t>V Inversiones financieras a corto plazo</w:t>
                        </w:r>
                      </w:p>
                    </w:tc>
                    <w:tc>
                      <w:tcPr>
                        <w:tcW w:w="5610" w:type="dxa"/>
                      </w:tcPr>
                      <w:p>
                        <w:pPr>
                          <w:pStyle w:val="TableParagraph"/>
                          <w:spacing w:before="44"/>
                          <w:ind w:right="1490"/>
                          <w:rPr>
                            <w:rFonts w:ascii="Arial"/>
                            <w:b/>
                            <w:sz w:val="29"/>
                          </w:rPr>
                        </w:pPr>
                        <w:r>
                          <w:rPr>
                            <w:rFonts w:ascii="Arial"/>
                            <w:b/>
                            <w:sz w:val="29"/>
                          </w:rPr>
                          <w:t>41.420,46</w:t>
                        </w:r>
                      </w:p>
                    </w:tc>
                    <w:tc>
                      <w:tcPr>
                        <w:tcW w:w="4352" w:type="dxa"/>
                      </w:tcPr>
                      <w:p>
                        <w:pPr>
                          <w:pStyle w:val="TableParagraph"/>
                          <w:spacing w:before="44"/>
                          <w:ind w:right="1529"/>
                          <w:rPr>
                            <w:rFonts w:ascii="Arial"/>
                            <w:b/>
                            <w:sz w:val="29"/>
                          </w:rPr>
                        </w:pPr>
                        <w:r>
                          <w:rPr>
                            <w:rFonts w:ascii="Arial"/>
                            <w:b/>
                            <w:sz w:val="29"/>
                          </w:rPr>
                          <w:t>1.500,00</w:t>
                        </w:r>
                      </w:p>
                    </w:tc>
                  </w:tr>
                  <w:tr>
                    <w:trPr>
                      <w:trHeight w:val="432" w:hRule="atLeast"/>
                    </w:trPr>
                    <w:tc>
                      <w:tcPr>
                        <w:tcW w:w="9161" w:type="dxa"/>
                      </w:tcPr>
                      <w:p>
                        <w:pPr>
                          <w:pStyle w:val="TableParagraph"/>
                          <w:spacing w:before="40"/>
                          <w:ind w:left="390"/>
                          <w:jc w:val="left"/>
                          <w:rPr>
                            <w:rFonts w:ascii="Arial" w:hAnsi="Arial"/>
                            <w:b/>
                            <w:sz w:val="29"/>
                          </w:rPr>
                        </w:pPr>
                        <w:r>
                          <w:rPr>
                            <w:rFonts w:ascii="Arial" w:hAnsi="Arial"/>
                            <w:b/>
                            <w:w w:val="105"/>
                            <w:sz w:val="29"/>
                          </w:rPr>
                          <w:t>VII Efectivo y otros activ.líquidos equivale</w:t>
                        </w:r>
                      </w:p>
                    </w:tc>
                    <w:tc>
                      <w:tcPr>
                        <w:tcW w:w="5610" w:type="dxa"/>
                      </w:tcPr>
                      <w:p>
                        <w:pPr>
                          <w:pStyle w:val="TableParagraph"/>
                          <w:spacing w:before="40"/>
                          <w:ind w:right="1498"/>
                          <w:rPr>
                            <w:rFonts w:ascii="Arial"/>
                            <w:b/>
                            <w:sz w:val="29"/>
                          </w:rPr>
                        </w:pPr>
                        <w:r>
                          <w:rPr>
                            <w:rFonts w:ascii="Arial"/>
                            <w:b/>
                            <w:sz w:val="29"/>
                          </w:rPr>
                          <w:t>1.435,54</w:t>
                        </w:r>
                      </w:p>
                    </w:tc>
                    <w:tc>
                      <w:tcPr>
                        <w:tcW w:w="4352" w:type="dxa"/>
                      </w:tcPr>
                      <w:p>
                        <w:pPr>
                          <w:pStyle w:val="TableParagraph"/>
                          <w:spacing w:before="40"/>
                          <w:ind w:right="1528"/>
                          <w:rPr>
                            <w:rFonts w:ascii="Arial"/>
                            <w:b/>
                            <w:sz w:val="29"/>
                          </w:rPr>
                        </w:pPr>
                        <w:r>
                          <w:rPr>
                            <w:rFonts w:ascii="Arial"/>
                            <w:b/>
                            <w:sz w:val="29"/>
                          </w:rPr>
                          <w:t>37.249,95</w:t>
                        </w:r>
                      </w:p>
                    </w:tc>
                  </w:tr>
                  <w:tr>
                    <w:trPr>
                      <w:trHeight w:val="439" w:hRule="atLeast"/>
                    </w:trPr>
                    <w:tc>
                      <w:tcPr>
                        <w:tcW w:w="9161" w:type="dxa"/>
                      </w:tcPr>
                      <w:p>
                        <w:pPr>
                          <w:pStyle w:val="TableParagraph"/>
                          <w:spacing w:before="54"/>
                          <w:ind w:left="141"/>
                          <w:jc w:val="left"/>
                          <w:rPr>
                            <w:rFonts w:ascii="Arial"/>
                            <w:sz w:val="29"/>
                          </w:rPr>
                        </w:pPr>
                        <w:r>
                          <w:rPr>
                            <w:rFonts w:ascii="Arial"/>
                            <w:w w:val="102"/>
                            <w:sz w:val="29"/>
                          </w:rPr>
                          <w:t>,</w:t>
                        </w:r>
                      </w:p>
                    </w:tc>
                    <w:tc>
                      <w:tcPr>
                        <w:tcW w:w="5610" w:type="dxa"/>
                      </w:tcPr>
                      <w:p>
                        <w:pPr>
                          <w:pStyle w:val="TableParagraph"/>
                          <w:spacing w:before="0"/>
                          <w:jc w:val="left"/>
                          <w:rPr>
                            <w:rFonts w:ascii="Times New Roman"/>
                            <w:sz w:val="30"/>
                          </w:rPr>
                        </w:pPr>
                      </w:p>
                    </w:tc>
                    <w:tc>
                      <w:tcPr>
                        <w:tcW w:w="4352" w:type="dxa"/>
                      </w:tcPr>
                      <w:p>
                        <w:pPr>
                          <w:pStyle w:val="TableParagraph"/>
                          <w:spacing w:before="0"/>
                          <w:jc w:val="left"/>
                          <w:rPr>
                            <w:rFonts w:ascii="Times New Roman"/>
                            <w:sz w:val="30"/>
                          </w:rPr>
                        </w:pPr>
                      </w:p>
                    </w:tc>
                  </w:tr>
                  <w:tr>
                    <w:trPr>
                      <w:trHeight w:val="432" w:hRule="atLeast"/>
                    </w:trPr>
                    <w:tc>
                      <w:tcPr>
                        <w:tcW w:w="9161" w:type="dxa"/>
                      </w:tcPr>
                      <w:p>
                        <w:pPr>
                          <w:pStyle w:val="TableParagraph"/>
                          <w:spacing w:before="47"/>
                          <w:ind w:left="141"/>
                          <w:jc w:val="left"/>
                          <w:rPr>
                            <w:rFonts w:ascii="Arial"/>
                            <w:b/>
                            <w:i/>
                            <w:sz w:val="29"/>
                          </w:rPr>
                        </w:pPr>
                        <w:r>
                          <w:rPr>
                            <w:rFonts w:ascii="Arial"/>
                            <w:b/>
                            <w:i/>
                            <w:w w:val="105"/>
                            <w:sz w:val="29"/>
                          </w:rPr>
                          <w:t>=== TOTAL ACTIVO</w:t>
                        </w:r>
                      </w:p>
                    </w:tc>
                    <w:tc>
                      <w:tcPr>
                        <w:tcW w:w="5610" w:type="dxa"/>
                      </w:tcPr>
                      <w:p>
                        <w:pPr>
                          <w:pStyle w:val="TableParagraph"/>
                          <w:spacing w:before="47"/>
                          <w:ind w:right="1490"/>
                          <w:rPr>
                            <w:rFonts w:ascii="Arial"/>
                            <w:b/>
                            <w:i/>
                            <w:sz w:val="29"/>
                          </w:rPr>
                        </w:pPr>
                        <w:r>
                          <w:rPr>
                            <w:rFonts w:ascii="Arial"/>
                            <w:b/>
                            <w:i/>
                            <w:sz w:val="29"/>
                          </w:rPr>
                          <w:t>53.584,73</w:t>
                        </w:r>
                      </w:p>
                    </w:tc>
                    <w:tc>
                      <w:tcPr>
                        <w:tcW w:w="4352" w:type="dxa"/>
                      </w:tcPr>
                      <w:p>
                        <w:pPr>
                          <w:pStyle w:val="TableParagraph"/>
                          <w:spacing w:before="47"/>
                          <w:ind w:right="1528"/>
                          <w:rPr>
                            <w:rFonts w:ascii="Arial"/>
                            <w:b/>
                            <w:i/>
                            <w:sz w:val="29"/>
                          </w:rPr>
                        </w:pPr>
                        <w:r>
                          <w:rPr>
                            <w:rFonts w:ascii="Arial"/>
                            <w:b/>
                            <w:i/>
                            <w:sz w:val="29"/>
                          </w:rPr>
                          <w:t>80.361,95</w:t>
                        </w:r>
                      </w:p>
                    </w:tc>
                  </w:tr>
                  <w:tr>
                    <w:trPr>
                      <w:trHeight w:val="432" w:hRule="atLeast"/>
                    </w:trPr>
                    <w:tc>
                      <w:tcPr>
                        <w:tcW w:w="9161" w:type="dxa"/>
                      </w:tcPr>
                      <w:p>
                        <w:pPr>
                          <w:pStyle w:val="TableParagraph"/>
                          <w:spacing w:before="47"/>
                          <w:ind w:left="141"/>
                          <w:jc w:val="left"/>
                          <w:rPr>
                            <w:rFonts w:ascii="Arial"/>
                            <w:b/>
                            <w:i/>
                            <w:sz w:val="29"/>
                          </w:rPr>
                        </w:pPr>
                        <w:r>
                          <w:rPr>
                            <w:rFonts w:ascii="Arial"/>
                            <w:b/>
                            <w:i/>
                            <w:w w:val="105"/>
                            <w:sz w:val="29"/>
                          </w:rPr>
                          <w:t>=== TOTAL FINAL</w:t>
                        </w:r>
                        <w:r>
                          <w:rPr>
                            <w:rFonts w:ascii="Arial"/>
                            <w:b/>
                            <w:i/>
                            <w:spacing w:val="83"/>
                            <w:w w:val="105"/>
                            <w:sz w:val="29"/>
                          </w:rPr>
                          <w:t> </w:t>
                        </w:r>
                        <w:r>
                          <w:rPr>
                            <w:rFonts w:ascii="Arial"/>
                            <w:b/>
                            <w:i/>
                            <w:w w:val="105"/>
                            <w:sz w:val="29"/>
                          </w:rPr>
                          <w:t>......................</w:t>
                        </w:r>
                      </w:p>
                    </w:tc>
                    <w:tc>
                      <w:tcPr>
                        <w:tcW w:w="5610" w:type="dxa"/>
                      </w:tcPr>
                      <w:p>
                        <w:pPr>
                          <w:pStyle w:val="TableParagraph"/>
                          <w:spacing w:before="47"/>
                          <w:ind w:right="1490"/>
                          <w:rPr>
                            <w:rFonts w:ascii="Arial"/>
                            <w:b/>
                            <w:i/>
                            <w:sz w:val="29"/>
                          </w:rPr>
                        </w:pPr>
                        <w:r>
                          <w:rPr>
                            <w:rFonts w:ascii="Arial"/>
                            <w:b/>
                            <w:i/>
                            <w:sz w:val="29"/>
                          </w:rPr>
                          <w:t>53.584,73</w:t>
                        </w:r>
                      </w:p>
                    </w:tc>
                    <w:tc>
                      <w:tcPr>
                        <w:tcW w:w="4352" w:type="dxa"/>
                      </w:tcPr>
                      <w:p>
                        <w:pPr>
                          <w:pStyle w:val="TableParagraph"/>
                          <w:spacing w:before="47"/>
                          <w:ind w:right="1528"/>
                          <w:rPr>
                            <w:rFonts w:ascii="Arial"/>
                            <w:b/>
                            <w:i/>
                            <w:sz w:val="29"/>
                          </w:rPr>
                        </w:pPr>
                        <w:r>
                          <w:rPr>
                            <w:rFonts w:ascii="Arial"/>
                            <w:b/>
                            <w:i/>
                            <w:sz w:val="29"/>
                          </w:rPr>
                          <w:t>80.361,95</w:t>
                        </w:r>
                      </w:p>
                    </w:tc>
                  </w:tr>
                  <w:tr>
                    <w:trPr>
                      <w:trHeight w:val="429" w:hRule="atLeast"/>
                    </w:trPr>
                    <w:tc>
                      <w:tcPr>
                        <w:tcW w:w="9161" w:type="dxa"/>
                      </w:tcPr>
                      <w:p>
                        <w:pPr>
                          <w:pStyle w:val="TableParagraph"/>
                          <w:spacing w:before="48"/>
                          <w:ind w:left="141"/>
                          <w:jc w:val="left"/>
                          <w:rPr>
                            <w:rFonts w:ascii="Arial"/>
                            <w:sz w:val="29"/>
                          </w:rPr>
                        </w:pPr>
                        <w:r>
                          <w:rPr>
                            <w:rFonts w:ascii="Arial"/>
                            <w:w w:val="102"/>
                            <w:sz w:val="29"/>
                          </w:rPr>
                          <w:t>,</w:t>
                        </w:r>
                      </w:p>
                    </w:tc>
                    <w:tc>
                      <w:tcPr>
                        <w:tcW w:w="5610" w:type="dxa"/>
                      </w:tcPr>
                      <w:p>
                        <w:pPr>
                          <w:pStyle w:val="TableParagraph"/>
                          <w:spacing w:before="0"/>
                          <w:jc w:val="left"/>
                          <w:rPr>
                            <w:rFonts w:ascii="Times New Roman"/>
                            <w:sz w:val="30"/>
                          </w:rPr>
                        </w:pPr>
                      </w:p>
                    </w:tc>
                    <w:tc>
                      <w:tcPr>
                        <w:tcW w:w="4352" w:type="dxa"/>
                      </w:tcPr>
                      <w:p>
                        <w:pPr>
                          <w:pStyle w:val="TableParagraph"/>
                          <w:spacing w:before="0"/>
                          <w:jc w:val="left"/>
                          <w:rPr>
                            <w:rFonts w:ascii="Times New Roman"/>
                            <w:sz w:val="30"/>
                          </w:rPr>
                        </w:pPr>
                      </w:p>
                    </w:tc>
                  </w:tr>
                  <w:tr>
                    <w:trPr>
                      <w:trHeight w:val="418" w:hRule="atLeast"/>
                    </w:trPr>
                    <w:tc>
                      <w:tcPr>
                        <w:tcW w:w="9161" w:type="dxa"/>
                      </w:tcPr>
                      <w:p>
                        <w:pPr>
                          <w:pStyle w:val="TableParagraph"/>
                          <w:spacing w:before="44"/>
                          <w:ind w:left="141"/>
                          <w:jc w:val="left"/>
                          <w:rPr>
                            <w:rFonts w:ascii="Arial"/>
                            <w:b/>
                            <w:i/>
                            <w:sz w:val="29"/>
                          </w:rPr>
                        </w:pPr>
                        <w:r>
                          <w:rPr>
                            <w:rFonts w:ascii="Arial"/>
                            <w:b/>
                            <w:i/>
                            <w:w w:val="105"/>
                            <w:sz w:val="29"/>
                          </w:rPr>
                          <w:t>=== PATRIMONIO NETO Y PASIVO =========</w:t>
                        </w:r>
                      </w:p>
                    </w:tc>
                    <w:tc>
                      <w:tcPr>
                        <w:tcW w:w="5610" w:type="dxa"/>
                      </w:tcPr>
                      <w:p>
                        <w:pPr>
                          <w:pStyle w:val="TableParagraph"/>
                          <w:spacing w:before="0"/>
                          <w:jc w:val="left"/>
                          <w:rPr>
                            <w:rFonts w:ascii="Times New Roman"/>
                            <w:sz w:val="30"/>
                          </w:rPr>
                        </w:pPr>
                      </w:p>
                    </w:tc>
                    <w:tc>
                      <w:tcPr>
                        <w:tcW w:w="4352" w:type="dxa"/>
                      </w:tcPr>
                      <w:p>
                        <w:pPr>
                          <w:pStyle w:val="TableParagraph"/>
                          <w:spacing w:before="0"/>
                          <w:jc w:val="left"/>
                          <w:rPr>
                            <w:rFonts w:ascii="Times New Roman"/>
                            <w:sz w:val="30"/>
                          </w:rPr>
                        </w:pPr>
                      </w:p>
                    </w:tc>
                  </w:tr>
                  <w:tr>
                    <w:trPr>
                      <w:trHeight w:val="372" w:hRule="atLeast"/>
                    </w:trPr>
                    <w:tc>
                      <w:tcPr>
                        <w:tcW w:w="9161" w:type="dxa"/>
                      </w:tcPr>
                      <w:p>
                        <w:pPr>
                          <w:pStyle w:val="TableParagraph"/>
                          <w:spacing w:line="315" w:lineRule="exact" w:before="37"/>
                          <w:ind w:left="141"/>
                          <w:jc w:val="left"/>
                          <w:rPr>
                            <w:rFonts w:ascii="Arial"/>
                            <w:b/>
                            <w:sz w:val="29"/>
                          </w:rPr>
                        </w:pPr>
                        <w:r>
                          <w:rPr>
                            <w:rFonts w:ascii="Arial"/>
                            <w:b/>
                            <w:w w:val="105"/>
                            <w:sz w:val="29"/>
                          </w:rPr>
                          <w:t>A) PATRIMONIO NETO</w:t>
                        </w:r>
                      </w:p>
                    </w:tc>
                    <w:tc>
                      <w:tcPr>
                        <w:tcW w:w="5610" w:type="dxa"/>
                      </w:tcPr>
                      <w:p>
                        <w:pPr>
                          <w:pStyle w:val="TableParagraph"/>
                          <w:spacing w:line="315" w:lineRule="exact" w:before="37"/>
                          <w:ind w:right="1490"/>
                          <w:rPr>
                            <w:rFonts w:ascii="Arial"/>
                            <w:b/>
                            <w:sz w:val="29"/>
                          </w:rPr>
                        </w:pPr>
                        <w:r>
                          <w:rPr>
                            <w:rFonts w:ascii="Arial"/>
                            <w:b/>
                            <w:sz w:val="29"/>
                          </w:rPr>
                          <w:t>21.436,52</w:t>
                        </w:r>
                      </w:p>
                    </w:tc>
                    <w:tc>
                      <w:tcPr>
                        <w:tcW w:w="4352" w:type="dxa"/>
                      </w:tcPr>
                      <w:p>
                        <w:pPr>
                          <w:pStyle w:val="TableParagraph"/>
                          <w:spacing w:line="315" w:lineRule="exact" w:before="37"/>
                          <w:ind w:right="1528"/>
                          <w:rPr>
                            <w:rFonts w:ascii="Arial"/>
                            <w:b/>
                            <w:sz w:val="29"/>
                          </w:rPr>
                        </w:pPr>
                        <w:r>
                          <w:rPr>
                            <w:rFonts w:ascii="Arial"/>
                            <w:b/>
                            <w:sz w:val="29"/>
                          </w:rPr>
                          <w:t>23.734,89</w:t>
                        </w:r>
                      </w:p>
                    </w:tc>
                  </w:tr>
                </w:tbl>
                <w:p>
                  <w:pPr>
                    <w:pStyle w:val="BodyText"/>
                  </w:pPr>
                </w:p>
              </w:txbxContent>
            </v:textbox>
            <w10:wrap type="none"/>
          </v:shape>
        </w:pict>
      </w: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1"/>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8"/>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8"/>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8"/>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1"/>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tabs>
          <w:tab w:pos="724" w:val="left" w:leader="none"/>
        </w:tabs>
        <w:spacing w:before="8"/>
        <w:ind w:left="114" w:right="0" w:firstLine="0"/>
        <w:jc w:val="left"/>
        <w:rPr>
          <w:rFonts w:ascii="Arial"/>
          <w:b/>
          <w:sz w:val="29"/>
        </w:rPr>
      </w:pPr>
      <w:r>
        <w:rPr>
          <w:rFonts w:ascii="Arial"/>
          <w:color w:val="FDFDFD"/>
          <w:position w:val="-4"/>
          <w:sz w:val="37"/>
        </w:rPr>
        <w:t>.</w:t>
        <w:tab/>
      </w:r>
      <w:r>
        <w:rPr>
          <w:rFonts w:ascii="Arial"/>
          <w:b/>
          <w:sz w:val="29"/>
        </w:rPr>
        <w:t>A-1 Fondos</w:t>
      </w:r>
      <w:r>
        <w:rPr>
          <w:rFonts w:ascii="Arial"/>
          <w:b/>
          <w:spacing w:val="8"/>
          <w:sz w:val="29"/>
        </w:rPr>
        <w:t> </w:t>
      </w:r>
      <w:r>
        <w:rPr>
          <w:rFonts w:ascii="Arial"/>
          <w:b/>
          <w:sz w:val="29"/>
        </w:rPr>
        <w:t>propios</w:t>
      </w:r>
    </w:p>
    <w:p>
      <w:pPr>
        <w:tabs>
          <w:tab w:pos="979" w:val="left" w:leader="none"/>
        </w:tabs>
        <w:spacing w:before="7"/>
        <w:ind w:left="114" w:right="0" w:firstLine="0"/>
        <w:jc w:val="left"/>
        <w:rPr>
          <w:rFonts w:ascii="Arial"/>
          <w:b/>
          <w:sz w:val="29"/>
        </w:rPr>
      </w:pPr>
      <w:r>
        <w:rPr>
          <w:rFonts w:ascii="Arial"/>
          <w:color w:val="FDFDFD"/>
          <w:position w:val="-4"/>
          <w:sz w:val="37"/>
        </w:rPr>
        <w:t>.</w:t>
        <w:tab/>
      </w:r>
      <w:r>
        <w:rPr>
          <w:rFonts w:ascii="Arial"/>
          <w:b/>
          <w:sz w:val="29"/>
        </w:rPr>
        <w:t>I</w:t>
      </w:r>
      <w:r>
        <w:rPr>
          <w:rFonts w:ascii="Arial"/>
          <w:b/>
          <w:spacing w:val="11"/>
          <w:sz w:val="29"/>
        </w:rPr>
        <w:t> </w:t>
      </w:r>
      <w:r>
        <w:rPr>
          <w:rFonts w:ascii="Arial"/>
          <w:b/>
          <w:sz w:val="29"/>
        </w:rPr>
        <w:t>Capital</w:t>
      </w:r>
    </w:p>
    <w:p>
      <w:pPr>
        <w:tabs>
          <w:tab w:pos="1228" w:val="left" w:leader="none"/>
        </w:tabs>
        <w:spacing w:before="7"/>
        <w:ind w:left="114" w:right="0" w:firstLine="0"/>
        <w:jc w:val="left"/>
        <w:rPr>
          <w:rFonts w:ascii="Arial"/>
          <w:sz w:val="29"/>
        </w:rPr>
      </w:pPr>
      <w:r>
        <w:rPr>
          <w:rFonts w:ascii="Arial"/>
          <w:color w:val="FDFDFD"/>
          <w:position w:val="-4"/>
          <w:sz w:val="37"/>
        </w:rPr>
        <w:t>.</w:t>
        <w:tab/>
      </w:r>
      <w:r>
        <w:rPr>
          <w:rFonts w:ascii="Arial"/>
          <w:sz w:val="29"/>
        </w:rPr>
        <w:t>1 Capital</w:t>
      </w:r>
      <w:r>
        <w:rPr>
          <w:rFonts w:ascii="Arial"/>
          <w:spacing w:val="8"/>
          <w:sz w:val="29"/>
        </w:rPr>
        <w:t> </w:t>
      </w:r>
      <w:r>
        <w:rPr>
          <w:rFonts w:ascii="Arial"/>
          <w:sz w:val="29"/>
        </w:rPr>
        <w:t>escriturado</w:t>
      </w:r>
    </w:p>
    <w:p>
      <w:pPr>
        <w:tabs>
          <w:tab w:pos="979" w:val="left" w:leader="none"/>
        </w:tabs>
        <w:spacing w:before="8"/>
        <w:ind w:left="114" w:right="0" w:firstLine="0"/>
        <w:jc w:val="left"/>
        <w:rPr>
          <w:rFonts w:ascii="Arial"/>
          <w:b/>
          <w:sz w:val="29"/>
        </w:rPr>
      </w:pPr>
      <w:r>
        <w:rPr>
          <w:rFonts w:ascii="Arial"/>
          <w:color w:val="FDFDFD"/>
          <w:position w:val="-4"/>
          <w:sz w:val="37"/>
        </w:rPr>
        <w:t>.</w:t>
        <w:tab/>
      </w:r>
      <w:r>
        <w:rPr>
          <w:rFonts w:ascii="Arial"/>
          <w:b/>
          <w:sz w:val="29"/>
        </w:rPr>
        <w:t>III</w:t>
      </w:r>
      <w:r>
        <w:rPr>
          <w:rFonts w:ascii="Arial"/>
          <w:b/>
          <w:spacing w:val="12"/>
          <w:sz w:val="29"/>
        </w:rPr>
        <w:t> </w:t>
      </w:r>
      <w:r>
        <w:rPr>
          <w:rFonts w:ascii="Arial"/>
          <w:b/>
          <w:sz w:val="29"/>
        </w:rPr>
        <w:t>Reservas</w:t>
      </w:r>
    </w:p>
    <w:p>
      <w:pPr>
        <w:tabs>
          <w:tab w:pos="1228" w:val="left" w:leader="none"/>
        </w:tabs>
        <w:spacing w:line="425" w:lineRule="exact" w:before="7"/>
        <w:ind w:left="114" w:right="0" w:firstLine="0"/>
        <w:jc w:val="left"/>
        <w:rPr>
          <w:rFonts w:ascii="Arial"/>
          <w:sz w:val="29"/>
        </w:rPr>
      </w:pPr>
      <w:r>
        <w:rPr>
          <w:rFonts w:ascii="Arial"/>
          <w:color w:val="FDFDFD"/>
          <w:position w:val="-4"/>
          <w:sz w:val="37"/>
        </w:rPr>
        <w:t>.</w:t>
        <w:tab/>
      </w:r>
      <w:r>
        <w:rPr>
          <w:rFonts w:ascii="Arial"/>
          <w:sz w:val="29"/>
        </w:rPr>
        <w:t>2 Otras</w:t>
      </w:r>
      <w:r>
        <w:rPr>
          <w:rFonts w:ascii="Arial"/>
          <w:spacing w:val="7"/>
          <w:sz w:val="29"/>
        </w:rPr>
        <w:t> </w:t>
      </w:r>
      <w:r>
        <w:rPr>
          <w:rFonts w:ascii="Arial"/>
          <w:sz w:val="29"/>
        </w:rPr>
        <w:t>Reservas</w:t>
      </w:r>
    </w:p>
    <w:p>
      <w:pPr>
        <w:spacing w:before="0"/>
        <w:ind w:left="114" w:right="0" w:firstLine="0"/>
        <w:jc w:val="left"/>
        <w:rPr>
          <w:rFonts w:ascii="Arial"/>
          <w:sz w:val="37"/>
        </w:rPr>
      </w:pPr>
      <w:r>
        <w:rPr/>
        <w:pict>
          <v:shape style="position:absolute;margin-left:100.349998pt;margin-top:.676922pt;width:867.7pt;height:37.6pt;mso-position-horizontal-relative:page;mso-position-vertical-relative:paragraph;z-index:25167564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65"/>
                    <w:gridCol w:w="5814"/>
                    <w:gridCol w:w="3075"/>
                  </w:tblGrid>
                  <w:tr>
                    <w:trPr>
                      <w:trHeight w:val="375" w:hRule="atLeast"/>
                    </w:trPr>
                    <w:tc>
                      <w:tcPr>
                        <w:tcW w:w="8465" w:type="dxa"/>
                      </w:tcPr>
                      <w:p>
                        <w:pPr>
                          <w:pStyle w:val="TableParagraph"/>
                          <w:spacing w:line="331" w:lineRule="exact" w:before="0"/>
                          <w:ind w:left="200"/>
                          <w:jc w:val="left"/>
                          <w:rPr>
                            <w:rFonts w:ascii="Arial"/>
                            <w:b/>
                            <w:sz w:val="29"/>
                          </w:rPr>
                        </w:pPr>
                        <w:r>
                          <w:rPr>
                            <w:rFonts w:ascii="Arial"/>
                            <w:b/>
                            <w:w w:val="105"/>
                            <w:sz w:val="29"/>
                          </w:rPr>
                          <w:t>V Resultados de ejercicios anteriores</w:t>
                        </w:r>
                      </w:p>
                    </w:tc>
                    <w:tc>
                      <w:tcPr>
                        <w:tcW w:w="5814" w:type="dxa"/>
                      </w:tcPr>
                      <w:p>
                        <w:pPr>
                          <w:pStyle w:val="TableParagraph"/>
                          <w:spacing w:line="331" w:lineRule="exact" w:before="0"/>
                          <w:ind w:right="1444"/>
                          <w:rPr>
                            <w:rFonts w:ascii="Arial"/>
                            <w:b/>
                            <w:sz w:val="29"/>
                          </w:rPr>
                        </w:pPr>
                        <w:r>
                          <w:rPr>
                            <w:rFonts w:ascii="Arial"/>
                            <w:b/>
                            <w:sz w:val="29"/>
                          </w:rPr>
                          <w:t>-51.873,78</w:t>
                        </w:r>
                      </w:p>
                    </w:tc>
                    <w:tc>
                      <w:tcPr>
                        <w:tcW w:w="3075" w:type="dxa"/>
                      </w:tcPr>
                      <w:p>
                        <w:pPr>
                          <w:pStyle w:val="TableParagraph"/>
                          <w:spacing w:line="331" w:lineRule="exact" w:before="0"/>
                          <w:ind w:right="198"/>
                          <w:rPr>
                            <w:rFonts w:ascii="Arial"/>
                            <w:b/>
                            <w:sz w:val="29"/>
                          </w:rPr>
                        </w:pPr>
                        <w:r>
                          <w:rPr>
                            <w:rFonts w:ascii="Arial"/>
                            <w:b/>
                            <w:sz w:val="29"/>
                          </w:rPr>
                          <w:t>-22.236,43</w:t>
                        </w:r>
                      </w:p>
                    </w:tc>
                  </w:tr>
                  <w:tr>
                    <w:trPr>
                      <w:trHeight w:val="375" w:hRule="atLeast"/>
                    </w:trPr>
                    <w:tc>
                      <w:tcPr>
                        <w:tcW w:w="8465" w:type="dxa"/>
                      </w:tcPr>
                      <w:p>
                        <w:pPr>
                          <w:pStyle w:val="TableParagraph"/>
                          <w:spacing w:line="315" w:lineRule="exact" w:before="40"/>
                          <w:ind w:left="200"/>
                          <w:jc w:val="left"/>
                          <w:rPr>
                            <w:rFonts w:ascii="Arial"/>
                            <w:b/>
                            <w:sz w:val="29"/>
                          </w:rPr>
                        </w:pPr>
                        <w:r>
                          <w:rPr>
                            <w:rFonts w:ascii="Arial"/>
                            <w:b/>
                            <w:w w:val="105"/>
                            <w:sz w:val="29"/>
                          </w:rPr>
                          <w:t>VII Resultado del ejercicio</w:t>
                        </w:r>
                      </w:p>
                    </w:tc>
                    <w:tc>
                      <w:tcPr>
                        <w:tcW w:w="5814" w:type="dxa"/>
                      </w:tcPr>
                      <w:p>
                        <w:pPr>
                          <w:pStyle w:val="TableParagraph"/>
                          <w:spacing w:line="315" w:lineRule="exact" w:before="40"/>
                          <w:ind w:right="1451"/>
                          <w:rPr>
                            <w:rFonts w:ascii="Arial"/>
                            <w:b/>
                            <w:sz w:val="29"/>
                          </w:rPr>
                        </w:pPr>
                        <w:r>
                          <w:rPr>
                            <w:rFonts w:ascii="Arial"/>
                            <w:b/>
                            <w:sz w:val="29"/>
                          </w:rPr>
                          <w:t>31.904,79</w:t>
                        </w:r>
                      </w:p>
                    </w:tc>
                    <w:tc>
                      <w:tcPr>
                        <w:tcW w:w="3075" w:type="dxa"/>
                      </w:tcPr>
                      <w:p>
                        <w:pPr>
                          <w:pStyle w:val="TableParagraph"/>
                          <w:spacing w:line="315" w:lineRule="exact" w:before="40"/>
                          <w:ind w:right="198"/>
                          <w:rPr>
                            <w:rFonts w:ascii="Arial"/>
                            <w:b/>
                            <w:sz w:val="29"/>
                          </w:rPr>
                        </w:pPr>
                        <w:r>
                          <w:rPr>
                            <w:rFonts w:ascii="Arial"/>
                            <w:b/>
                            <w:sz w:val="29"/>
                          </w:rPr>
                          <w:t>-29.637,35</w:t>
                        </w:r>
                      </w:p>
                    </w:tc>
                  </w:tr>
                </w:tbl>
                <w:p>
                  <w:pPr>
                    <w:pStyle w:val="BodyText"/>
                  </w:pPr>
                </w:p>
              </w:txbxContent>
            </v:textbox>
            <w10:wrap type="none"/>
          </v:shape>
        </w:pict>
      </w:r>
      <w:r>
        <w:rPr>
          <w:rFonts w:ascii="Arial"/>
          <w:color w:val="FDFDFD"/>
          <w:w w:val="99"/>
          <w:sz w:val="37"/>
        </w:rPr>
        <w:t>.</w:t>
      </w:r>
    </w:p>
    <w:p>
      <w:pPr>
        <w:spacing w:before="8"/>
        <w:ind w:left="114" w:right="0" w:firstLine="0"/>
        <w:jc w:val="left"/>
        <w:rPr>
          <w:rFonts w:ascii="Arial"/>
          <w:sz w:val="37"/>
        </w:rPr>
      </w:pPr>
      <w:r>
        <w:rPr>
          <w:rFonts w:ascii="Arial"/>
          <w:color w:val="FDFDFD"/>
          <w:w w:val="99"/>
          <w:sz w:val="37"/>
        </w:rPr>
        <w:t>.</w:t>
      </w:r>
    </w:p>
    <w:p>
      <w:pPr>
        <w:tabs>
          <w:tab w:pos="724" w:val="left" w:leader="none"/>
        </w:tabs>
        <w:spacing w:before="7"/>
        <w:ind w:left="114" w:right="0" w:firstLine="0"/>
        <w:jc w:val="left"/>
        <w:rPr>
          <w:rFonts w:ascii="Arial"/>
          <w:b/>
          <w:sz w:val="29"/>
        </w:rPr>
      </w:pPr>
      <w:r>
        <w:rPr>
          <w:rFonts w:ascii="Arial"/>
          <w:color w:val="FDFDFD"/>
          <w:position w:val="-4"/>
          <w:sz w:val="37"/>
        </w:rPr>
        <w:t>.</w:t>
        <w:tab/>
      </w:r>
      <w:r>
        <w:rPr>
          <w:rFonts w:ascii="Arial"/>
          <w:b/>
          <w:sz w:val="29"/>
        </w:rPr>
        <w:t>A-3 Subv.donaciones y legados</w:t>
      </w:r>
      <w:r>
        <w:rPr>
          <w:rFonts w:ascii="Arial"/>
          <w:b/>
          <w:spacing w:val="6"/>
          <w:sz w:val="29"/>
        </w:rPr>
        <w:t> </w:t>
      </w:r>
      <w:r>
        <w:rPr>
          <w:rFonts w:ascii="Arial"/>
          <w:b/>
          <w:sz w:val="29"/>
        </w:rPr>
        <w:t>recibidos</w:t>
      </w:r>
    </w:p>
    <w:p>
      <w:pPr>
        <w:tabs>
          <w:tab w:pos="475" w:val="left" w:leader="none"/>
        </w:tabs>
        <w:spacing w:before="8"/>
        <w:ind w:left="114" w:right="0" w:firstLine="0"/>
        <w:jc w:val="left"/>
        <w:rPr>
          <w:rFonts w:ascii="Arial"/>
          <w:b/>
          <w:sz w:val="29"/>
        </w:rPr>
      </w:pPr>
      <w:r>
        <w:rPr>
          <w:rFonts w:ascii="Arial"/>
          <w:color w:val="FDFDFD"/>
          <w:position w:val="-4"/>
          <w:sz w:val="37"/>
        </w:rPr>
        <w:t>.</w:t>
        <w:tab/>
      </w:r>
      <w:r>
        <w:rPr>
          <w:rFonts w:ascii="Arial"/>
          <w:b/>
          <w:sz w:val="29"/>
        </w:rPr>
        <w:t>B PASIVO NO</w:t>
      </w:r>
      <w:r>
        <w:rPr>
          <w:rFonts w:ascii="Arial"/>
          <w:b/>
          <w:spacing w:val="28"/>
          <w:sz w:val="29"/>
        </w:rPr>
        <w:t> </w:t>
      </w:r>
      <w:r>
        <w:rPr>
          <w:rFonts w:ascii="Arial"/>
          <w:b/>
          <w:sz w:val="29"/>
        </w:rPr>
        <w:t>CORRIENTE</w:t>
      </w:r>
    </w:p>
    <w:p>
      <w:pPr>
        <w:tabs>
          <w:tab w:pos="724" w:val="left" w:leader="none"/>
        </w:tabs>
        <w:spacing w:before="7"/>
        <w:ind w:left="114" w:right="0" w:firstLine="0"/>
        <w:jc w:val="left"/>
        <w:rPr>
          <w:rFonts w:ascii="Arial"/>
          <w:b/>
          <w:sz w:val="29"/>
        </w:rPr>
      </w:pPr>
      <w:r>
        <w:rPr>
          <w:rFonts w:ascii="Arial"/>
          <w:color w:val="FDFDFD"/>
          <w:position w:val="-4"/>
          <w:sz w:val="37"/>
        </w:rPr>
        <w:t>.</w:t>
        <w:tab/>
      </w:r>
      <w:r>
        <w:rPr>
          <w:rFonts w:ascii="Arial"/>
          <w:b/>
          <w:sz w:val="29"/>
        </w:rPr>
        <w:t>IV Pasivos por impuesto</w:t>
      </w:r>
      <w:r>
        <w:rPr>
          <w:rFonts w:ascii="Arial"/>
          <w:b/>
          <w:spacing w:val="35"/>
          <w:sz w:val="29"/>
        </w:rPr>
        <w:t> </w:t>
      </w:r>
      <w:r>
        <w:rPr>
          <w:rFonts w:ascii="Arial"/>
          <w:b/>
          <w:sz w:val="29"/>
        </w:rPr>
        <w:t>diferido</w:t>
      </w:r>
    </w:p>
    <w:p>
      <w:pPr>
        <w:tabs>
          <w:tab w:pos="475" w:val="left" w:leader="none"/>
        </w:tabs>
        <w:spacing w:before="7"/>
        <w:ind w:left="114" w:right="0" w:firstLine="0"/>
        <w:jc w:val="left"/>
        <w:rPr>
          <w:rFonts w:ascii="Arial"/>
          <w:b/>
          <w:sz w:val="29"/>
        </w:rPr>
      </w:pPr>
      <w:r>
        <w:rPr>
          <w:rFonts w:ascii="Arial"/>
          <w:color w:val="FDFDFD"/>
          <w:position w:val="-4"/>
          <w:sz w:val="37"/>
        </w:rPr>
        <w:t>.</w:t>
        <w:tab/>
      </w:r>
      <w:r>
        <w:rPr>
          <w:rFonts w:ascii="Arial"/>
          <w:b/>
          <w:sz w:val="29"/>
        </w:rPr>
        <w:t>C PASIVO</w:t>
      </w:r>
      <w:r>
        <w:rPr>
          <w:rFonts w:ascii="Arial"/>
          <w:b/>
          <w:spacing w:val="12"/>
          <w:sz w:val="29"/>
        </w:rPr>
        <w:t> </w:t>
      </w:r>
      <w:r>
        <w:rPr>
          <w:rFonts w:ascii="Arial"/>
          <w:b/>
          <w:sz w:val="29"/>
        </w:rPr>
        <w:t>CORRIENTE</w:t>
      </w:r>
    </w:p>
    <w:p>
      <w:pPr>
        <w:tabs>
          <w:tab w:pos="724" w:val="left" w:leader="none"/>
        </w:tabs>
        <w:spacing w:before="8"/>
        <w:ind w:left="114" w:right="0" w:firstLine="0"/>
        <w:jc w:val="left"/>
        <w:rPr>
          <w:rFonts w:ascii="Arial"/>
          <w:b/>
          <w:sz w:val="29"/>
        </w:rPr>
      </w:pPr>
      <w:r>
        <w:rPr>
          <w:rFonts w:ascii="Arial"/>
          <w:color w:val="FDFDFD"/>
          <w:position w:val="-4"/>
          <w:sz w:val="37"/>
        </w:rPr>
        <w:t>.</w:t>
        <w:tab/>
      </w:r>
      <w:r>
        <w:rPr>
          <w:rFonts w:ascii="Arial"/>
          <w:b/>
          <w:sz w:val="29"/>
        </w:rPr>
        <w:t>III Deudas a corto</w:t>
      </w:r>
      <w:r>
        <w:rPr>
          <w:rFonts w:ascii="Arial"/>
          <w:b/>
          <w:spacing w:val="23"/>
          <w:sz w:val="29"/>
        </w:rPr>
        <w:t> </w:t>
      </w:r>
      <w:r>
        <w:rPr>
          <w:rFonts w:ascii="Arial"/>
          <w:b/>
          <w:sz w:val="29"/>
        </w:rPr>
        <w:t>plazo</w:t>
      </w:r>
    </w:p>
    <w:p>
      <w:pPr>
        <w:tabs>
          <w:tab w:pos="979" w:val="left" w:leader="none"/>
        </w:tabs>
        <w:spacing w:before="7"/>
        <w:ind w:left="114" w:right="0" w:firstLine="0"/>
        <w:jc w:val="left"/>
        <w:rPr>
          <w:rFonts w:ascii="Arial"/>
          <w:sz w:val="29"/>
        </w:rPr>
      </w:pPr>
      <w:r>
        <w:rPr>
          <w:rFonts w:ascii="Arial"/>
          <w:color w:val="FDFDFD"/>
          <w:position w:val="-4"/>
          <w:sz w:val="37"/>
        </w:rPr>
        <w:t>.</w:t>
        <w:tab/>
      </w:r>
      <w:r>
        <w:rPr>
          <w:rFonts w:ascii="Arial"/>
          <w:sz w:val="29"/>
        </w:rPr>
        <w:t>3 Otras deudas a corto</w:t>
      </w:r>
      <w:r>
        <w:rPr>
          <w:rFonts w:ascii="Arial"/>
          <w:spacing w:val="44"/>
          <w:sz w:val="29"/>
        </w:rPr>
        <w:t> </w:t>
      </w:r>
      <w:r>
        <w:rPr>
          <w:rFonts w:ascii="Arial"/>
          <w:sz w:val="29"/>
        </w:rPr>
        <w:t>plazo</w:t>
      </w:r>
    </w:p>
    <w:p>
      <w:pPr>
        <w:tabs>
          <w:tab w:pos="724" w:val="left" w:leader="none"/>
        </w:tabs>
        <w:spacing w:before="7"/>
        <w:ind w:left="114" w:right="0" w:firstLine="0"/>
        <w:jc w:val="left"/>
        <w:rPr>
          <w:rFonts w:ascii="Arial"/>
          <w:b/>
          <w:sz w:val="29"/>
        </w:rPr>
      </w:pPr>
      <w:r>
        <w:rPr>
          <w:rFonts w:ascii="Arial"/>
          <w:color w:val="FDFDFD"/>
          <w:position w:val="-4"/>
          <w:sz w:val="37"/>
        </w:rPr>
        <w:t>.</w:t>
        <w:tab/>
      </w:r>
      <w:r>
        <w:rPr>
          <w:rFonts w:ascii="Arial"/>
          <w:b/>
          <w:sz w:val="29"/>
        </w:rPr>
        <w:t>V Acreedores ciales.y otras ctas.a</w:t>
      </w:r>
      <w:r>
        <w:rPr>
          <w:rFonts w:ascii="Arial"/>
          <w:b/>
          <w:spacing w:val="41"/>
          <w:sz w:val="29"/>
        </w:rPr>
        <w:t> </w:t>
      </w:r>
      <w:r>
        <w:rPr>
          <w:rFonts w:ascii="Arial"/>
          <w:b/>
          <w:spacing w:val="2"/>
          <w:sz w:val="29"/>
        </w:rPr>
        <w:t>pagar</w:t>
      </w:r>
    </w:p>
    <w:p>
      <w:pPr>
        <w:tabs>
          <w:tab w:pos="979" w:val="left" w:leader="none"/>
        </w:tabs>
        <w:spacing w:before="7"/>
        <w:ind w:left="114" w:right="0" w:firstLine="0"/>
        <w:jc w:val="left"/>
        <w:rPr>
          <w:rFonts w:ascii="Arial"/>
          <w:sz w:val="29"/>
        </w:rPr>
      </w:pPr>
      <w:r>
        <w:rPr>
          <w:rFonts w:ascii="Arial"/>
          <w:color w:val="FDFDFD"/>
          <w:position w:val="-4"/>
          <w:sz w:val="37"/>
        </w:rPr>
        <w:t>.</w:t>
        <w:tab/>
      </w:r>
      <w:r>
        <w:rPr>
          <w:rFonts w:ascii="Arial"/>
          <w:sz w:val="29"/>
        </w:rPr>
        <w:t>2 Otros</w:t>
      </w:r>
      <w:r>
        <w:rPr>
          <w:rFonts w:ascii="Arial"/>
          <w:spacing w:val="8"/>
          <w:sz w:val="29"/>
        </w:rPr>
        <w:t> </w:t>
      </w:r>
      <w:r>
        <w:rPr>
          <w:rFonts w:ascii="Arial"/>
          <w:sz w:val="29"/>
        </w:rPr>
        <w:t>acreedores</w:t>
      </w:r>
    </w:p>
    <w:p>
      <w:pPr>
        <w:spacing w:before="1"/>
        <w:ind w:left="114" w:right="0" w:firstLine="0"/>
        <w:jc w:val="left"/>
        <w:rPr>
          <w:rFonts w:ascii="Arial"/>
          <w:sz w:val="37"/>
        </w:rPr>
      </w:pPr>
      <w:r>
        <w:rPr/>
        <w:pict>
          <v:shape style="position:absolute;margin-left:75.147003pt;margin-top:.726915pt;width:892.55pt;height:59.25pt;mso-position-horizontal-relative:page;mso-position-vertical-relative:paragraph;z-index:25167667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87"/>
                    <w:gridCol w:w="6439"/>
                    <w:gridCol w:w="3025"/>
                  </w:tblGrid>
                  <w:tr>
                    <w:trPr>
                      <w:trHeight w:val="386" w:hRule="atLeast"/>
                    </w:trPr>
                    <w:tc>
                      <w:tcPr>
                        <w:tcW w:w="8387" w:type="dxa"/>
                      </w:tcPr>
                      <w:p>
                        <w:pPr>
                          <w:pStyle w:val="TableParagraph"/>
                          <w:spacing w:line="331" w:lineRule="exact" w:before="0"/>
                          <w:ind w:left="200"/>
                          <w:jc w:val="left"/>
                          <w:rPr>
                            <w:rFonts w:ascii="Arial"/>
                            <w:sz w:val="29"/>
                          </w:rPr>
                        </w:pPr>
                        <w:r>
                          <w:rPr>
                            <w:rFonts w:ascii="Arial"/>
                            <w:w w:val="102"/>
                            <w:sz w:val="29"/>
                          </w:rPr>
                          <w:t>,</w:t>
                        </w:r>
                      </w:p>
                    </w:tc>
                    <w:tc>
                      <w:tcPr>
                        <w:tcW w:w="6439" w:type="dxa"/>
                      </w:tcPr>
                      <w:p>
                        <w:pPr>
                          <w:pStyle w:val="TableParagraph"/>
                          <w:spacing w:before="0"/>
                          <w:jc w:val="left"/>
                          <w:rPr>
                            <w:rFonts w:ascii="Times New Roman"/>
                            <w:sz w:val="30"/>
                          </w:rPr>
                        </w:pPr>
                      </w:p>
                    </w:tc>
                    <w:tc>
                      <w:tcPr>
                        <w:tcW w:w="3025" w:type="dxa"/>
                      </w:tcPr>
                      <w:p>
                        <w:pPr>
                          <w:pStyle w:val="TableParagraph"/>
                          <w:spacing w:before="0"/>
                          <w:jc w:val="left"/>
                          <w:rPr>
                            <w:rFonts w:ascii="Times New Roman"/>
                            <w:sz w:val="30"/>
                          </w:rPr>
                        </w:pPr>
                      </w:p>
                    </w:tc>
                  </w:tr>
                  <w:tr>
                    <w:trPr>
                      <w:trHeight w:val="425" w:hRule="atLeast"/>
                    </w:trPr>
                    <w:tc>
                      <w:tcPr>
                        <w:tcW w:w="8387" w:type="dxa"/>
                      </w:tcPr>
                      <w:p>
                        <w:pPr>
                          <w:pStyle w:val="TableParagraph"/>
                          <w:spacing w:before="51"/>
                          <w:ind w:left="200"/>
                          <w:jc w:val="left"/>
                          <w:rPr>
                            <w:rFonts w:ascii="Arial"/>
                            <w:b/>
                            <w:i/>
                            <w:sz w:val="29"/>
                          </w:rPr>
                        </w:pPr>
                        <w:r>
                          <w:rPr>
                            <w:rFonts w:ascii="Arial"/>
                            <w:b/>
                            <w:i/>
                            <w:w w:val="105"/>
                            <w:sz w:val="29"/>
                          </w:rPr>
                          <w:t>=== TOTAL PASIVO</w:t>
                        </w:r>
                      </w:p>
                    </w:tc>
                    <w:tc>
                      <w:tcPr>
                        <w:tcW w:w="6439" w:type="dxa"/>
                      </w:tcPr>
                      <w:p>
                        <w:pPr>
                          <w:pStyle w:val="TableParagraph"/>
                          <w:spacing w:before="51"/>
                          <w:ind w:right="1494"/>
                          <w:rPr>
                            <w:rFonts w:ascii="Arial"/>
                            <w:b/>
                            <w:i/>
                            <w:sz w:val="29"/>
                          </w:rPr>
                        </w:pPr>
                        <w:r>
                          <w:rPr>
                            <w:rFonts w:ascii="Arial"/>
                            <w:b/>
                            <w:i/>
                            <w:sz w:val="29"/>
                          </w:rPr>
                          <w:t>53.584,73</w:t>
                        </w:r>
                      </w:p>
                    </w:tc>
                    <w:tc>
                      <w:tcPr>
                        <w:tcW w:w="3025" w:type="dxa"/>
                      </w:tcPr>
                      <w:p>
                        <w:pPr>
                          <w:pStyle w:val="TableParagraph"/>
                          <w:spacing w:before="51"/>
                          <w:ind w:right="198"/>
                          <w:rPr>
                            <w:rFonts w:ascii="Arial"/>
                            <w:b/>
                            <w:i/>
                            <w:sz w:val="29"/>
                          </w:rPr>
                        </w:pPr>
                        <w:r>
                          <w:rPr>
                            <w:rFonts w:ascii="Arial"/>
                            <w:b/>
                            <w:i/>
                            <w:sz w:val="29"/>
                          </w:rPr>
                          <w:t>80.361,95</w:t>
                        </w:r>
                      </w:p>
                    </w:tc>
                  </w:tr>
                  <w:tr>
                    <w:trPr>
                      <w:trHeight w:val="372" w:hRule="atLeast"/>
                    </w:trPr>
                    <w:tc>
                      <w:tcPr>
                        <w:tcW w:w="8387" w:type="dxa"/>
                      </w:tcPr>
                      <w:p>
                        <w:pPr>
                          <w:pStyle w:val="TableParagraph"/>
                          <w:spacing w:line="315" w:lineRule="exact" w:before="37"/>
                          <w:ind w:left="200"/>
                          <w:jc w:val="left"/>
                          <w:rPr>
                            <w:rFonts w:ascii="Arial"/>
                            <w:b/>
                            <w:i/>
                            <w:sz w:val="29"/>
                          </w:rPr>
                        </w:pPr>
                        <w:r>
                          <w:rPr>
                            <w:rFonts w:ascii="Arial"/>
                            <w:b/>
                            <w:i/>
                            <w:w w:val="105"/>
                            <w:sz w:val="29"/>
                          </w:rPr>
                          <w:t>=== TOTAL FINAL .......................</w:t>
                        </w:r>
                      </w:p>
                    </w:tc>
                    <w:tc>
                      <w:tcPr>
                        <w:tcW w:w="6439" w:type="dxa"/>
                      </w:tcPr>
                      <w:p>
                        <w:pPr>
                          <w:pStyle w:val="TableParagraph"/>
                          <w:spacing w:line="315" w:lineRule="exact" w:before="37"/>
                          <w:ind w:right="1494"/>
                          <w:rPr>
                            <w:rFonts w:ascii="Arial"/>
                            <w:b/>
                            <w:i/>
                            <w:sz w:val="29"/>
                          </w:rPr>
                        </w:pPr>
                        <w:r>
                          <w:rPr>
                            <w:rFonts w:ascii="Arial"/>
                            <w:b/>
                            <w:i/>
                            <w:sz w:val="29"/>
                          </w:rPr>
                          <w:t>53.584,73</w:t>
                        </w:r>
                      </w:p>
                    </w:tc>
                    <w:tc>
                      <w:tcPr>
                        <w:tcW w:w="3025" w:type="dxa"/>
                      </w:tcPr>
                      <w:p>
                        <w:pPr>
                          <w:pStyle w:val="TableParagraph"/>
                          <w:spacing w:line="315" w:lineRule="exact" w:before="37"/>
                          <w:ind w:right="198"/>
                          <w:rPr>
                            <w:rFonts w:ascii="Arial"/>
                            <w:b/>
                            <w:i/>
                            <w:sz w:val="29"/>
                          </w:rPr>
                        </w:pPr>
                        <w:r>
                          <w:rPr>
                            <w:rFonts w:ascii="Arial"/>
                            <w:b/>
                            <w:i/>
                            <w:sz w:val="29"/>
                          </w:rPr>
                          <w:t>80.361,95</w:t>
                        </w:r>
                      </w:p>
                    </w:tc>
                  </w:tr>
                </w:tbl>
                <w:p>
                  <w:pPr>
                    <w:pStyle w:val="BodyText"/>
                  </w:pPr>
                </w:p>
              </w:txbxContent>
            </v:textbox>
            <w10:wrap type="none"/>
          </v:shape>
        </w:pict>
      </w: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spacing w:before="7"/>
        <w:ind w:left="114" w:right="0" w:firstLine="0"/>
        <w:jc w:val="left"/>
        <w:rPr>
          <w:rFonts w:ascii="Arial"/>
          <w:sz w:val="37"/>
        </w:rPr>
      </w:pPr>
      <w:r>
        <w:rPr>
          <w:rFonts w:ascii="Arial"/>
          <w:color w:val="FDFDFD"/>
          <w:w w:val="99"/>
          <w:sz w:val="37"/>
        </w:rPr>
        <w:t>.</w:t>
      </w:r>
    </w:p>
    <w:p>
      <w:pPr>
        <w:pStyle w:val="BodyText"/>
        <w:rPr>
          <w:rFonts w:ascii="Arial"/>
          <w:sz w:val="32"/>
        </w:rPr>
      </w:pPr>
      <w:r>
        <w:rPr/>
        <w:br w:type="column"/>
      </w:r>
      <w:r>
        <w:rPr>
          <w:rFonts w:ascii="Arial"/>
          <w:sz w:val="32"/>
        </w:rPr>
      </w: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rPr>
          <w:rFonts w:ascii="Arial"/>
          <w:sz w:val="32"/>
        </w:rPr>
      </w:pPr>
    </w:p>
    <w:p>
      <w:pPr>
        <w:pStyle w:val="BodyText"/>
        <w:spacing w:before="1"/>
        <w:rPr>
          <w:rFonts w:ascii="Arial"/>
          <w:sz w:val="34"/>
        </w:rPr>
      </w:pPr>
    </w:p>
    <w:p>
      <w:pPr>
        <w:tabs>
          <w:tab w:pos="4229" w:val="left" w:leader="none"/>
        </w:tabs>
        <w:spacing w:before="0"/>
        <w:ind w:left="0" w:right="1654" w:firstLine="0"/>
        <w:jc w:val="right"/>
        <w:rPr>
          <w:rFonts w:ascii="Arial"/>
          <w:b/>
          <w:sz w:val="29"/>
        </w:rPr>
      </w:pPr>
      <w:r>
        <w:rPr>
          <w:rFonts w:ascii="Arial"/>
          <w:b/>
          <w:w w:val="105"/>
          <w:sz w:val="29"/>
        </w:rPr>
        <w:t>21.436,52</w:t>
        <w:tab/>
      </w:r>
      <w:r>
        <w:rPr>
          <w:rFonts w:ascii="Arial"/>
          <w:b/>
          <w:spacing w:val="-1"/>
          <w:sz w:val="29"/>
        </w:rPr>
        <w:t>-10.468,27</w:t>
      </w:r>
    </w:p>
    <w:p>
      <w:pPr>
        <w:tabs>
          <w:tab w:pos="4321" w:val="left" w:leader="none"/>
        </w:tabs>
        <w:spacing w:before="100"/>
        <w:ind w:left="0" w:right="1655" w:firstLine="0"/>
        <w:jc w:val="right"/>
        <w:rPr>
          <w:rFonts w:ascii="Arial"/>
          <w:b/>
          <w:sz w:val="29"/>
        </w:rPr>
      </w:pPr>
      <w:r>
        <w:rPr>
          <w:rFonts w:ascii="Arial"/>
          <w:b/>
          <w:w w:val="105"/>
          <w:sz w:val="29"/>
        </w:rPr>
        <w:t>3.005,06</w:t>
        <w:tab/>
      </w:r>
      <w:r>
        <w:rPr>
          <w:rFonts w:ascii="Arial"/>
          <w:b/>
          <w:sz w:val="29"/>
        </w:rPr>
        <w:t>3.005,06</w:t>
      </w:r>
    </w:p>
    <w:p>
      <w:pPr>
        <w:tabs>
          <w:tab w:pos="4321" w:val="left" w:leader="none"/>
        </w:tabs>
        <w:spacing w:before="92"/>
        <w:ind w:left="0" w:right="1655" w:firstLine="0"/>
        <w:jc w:val="right"/>
        <w:rPr>
          <w:rFonts w:ascii="Arial"/>
          <w:sz w:val="29"/>
        </w:rPr>
      </w:pPr>
      <w:r>
        <w:rPr>
          <w:rFonts w:ascii="Arial"/>
          <w:w w:val="105"/>
          <w:sz w:val="29"/>
        </w:rPr>
        <w:t>3.005,06</w:t>
        <w:tab/>
      </w:r>
      <w:r>
        <w:rPr>
          <w:rFonts w:ascii="Arial"/>
          <w:sz w:val="29"/>
        </w:rPr>
        <w:t>3.005,06</w:t>
      </w:r>
    </w:p>
    <w:p>
      <w:pPr>
        <w:tabs>
          <w:tab w:pos="4321" w:val="left" w:leader="none"/>
        </w:tabs>
        <w:spacing w:before="100"/>
        <w:ind w:left="0" w:right="1661" w:firstLine="0"/>
        <w:jc w:val="right"/>
        <w:rPr>
          <w:rFonts w:ascii="Arial"/>
          <w:b/>
          <w:sz w:val="29"/>
        </w:rPr>
      </w:pPr>
      <w:r>
        <w:rPr>
          <w:rFonts w:ascii="Arial"/>
          <w:b/>
          <w:w w:val="105"/>
          <w:sz w:val="29"/>
        </w:rPr>
        <w:t>38.400,45</w:t>
        <w:tab/>
      </w:r>
      <w:r>
        <w:rPr>
          <w:rFonts w:ascii="Arial"/>
          <w:b/>
          <w:spacing w:val="-1"/>
          <w:sz w:val="29"/>
        </w:rPr>
        <w:t>38.400,45</w:t>
      </w:r>
    </w:p>
    <w:p>
      <w:pPr>
        <w:tabs>
          <w:tab w:pos="4321" w:val="left" w:leader="none"/>
        </w:tabs>
        <w:spacing w:before="99"/>
        <w:ind w:left="0" w:right="1661" w:firstLine="0"/>
        <w:jc w:val="right"/>
        <w:rPr>
          <w:rFonts w:ascii="Arial"/>
          <w:sz w:val="29"/>
        </w:rPr>
      </w:pPr>
      <w:r>
        <w:rPr>
          <w:rFonts w:ascii="Arial"/>
          <w:w w:val="105"/>
          <w:sz w:val="29"/>
        </w:rPr>
        <w:t>38.400,45</w:t>
        <w:tab/>
      </w:r>
      <w:r>
        <w:rPr>
          <w:rFonts w:ascii="Arial"/>
          <w:spacing w:val="-1"/>
          <w:sz w:val="29"/>
        </w:rPr>
        <w:t>38.400,45</w:t>
      </w:r>
    </w:p>
    <w:p>
      <w:pPr>
        <w:pStyle w:val="BodyText"/>
        <w:rPr>
          <w:rFonts w:ascii="Arial"/>
          <w:sz w:val="32"/>
        </w:rPr>
      </w:pPr>
    </w:p>
    <w:p>
      <w:pPr>
        <w:pStyle w:val="BodyText"/>
        <w:rPr>
          <w:rFonts w:ascii="Arial"/>
          <w:sz w:val="32"/>
        </w:rPr>
      </w:pPr>
    </w:p>
    <w:p>
      <w:pPr>
        <w:spacing w:before="229"/>
        <w:ind w:left="0" w:right="1640" w:firstLine="0"/>
        <w:jc w:val="right"/>
        <w:rPr>
          <w:rFonts w:ascii="Arial"/>
          <w:b/>
          <w:sz w:val="29"/>
        </w:rPr>
      </w:pPr>
      <w:r>
        <w:rPr>
          <w:rFonts w:ascii="Arial"/>
          <w:b/>
          <w:spacing w:val="-1"/>
          <w:sz w:val="29"/>
        </w:rPr>
        <w:t>34.203,16</w:t>
      </w:r>
    </w:p>
    <w:p>
      <w:pPr>
        <w:spacing w:before="99"/>
        <w:ind w:left="0" w:right="1640" w:firstLine="0"/>
        <w:jc w:val="right"/>
        <w:rPr>
          <w:rFonts w:ascii="Arial"/>
          <w:b/>
          <w:sz w:val="29"/>
        </w:rPr>
      </w:pPr>
      <w:r>
        <w:rPr>
          <w:rFonts w:ascii="Arial"/>
          <w:b/>
          <w:spacing w:val="-1"/>
          <w:sz w:val="29"/>
        </w:rPr>
        <w:t>12.891,31</w:t>
      </w:r>
    </w:p>
    <w:p>
      <w:pPr>
        <w:spacing w:before="100"/>
        <w:ind w:left="0" w:right="1640" w:firstLine="0"/>
        <w:jc w:val="right"/>
        <w:rPr>
          <w:rFonts w:ascii="Arial"/>
          <w:b/>
          <w:sz w:val="29"/>
        </w:rPr>
      </w:pPr>
      <w:r>
        <w:rPr>
          <w:rFonts w:ascii="Arial"/>
          <w:b/>
          <w:spacing w:val="-1"/>
          <w:sz w:val="29"/>
        </w:rPr>
        <w:t>12.891,31</w:t>
      </w:r>
    </w:p>
    <w:p>
      <w:pPr>
        <w:tabs>
          <w:tab w:pos="4321" w:val="left" w:leader="none"/>
        </w:tabs>
        <w:spacing w:before="99"/>
        <w:ind w:left="0" w:right="1640" w:firstLine="0"/>
        <w:jc w:val="right"/>
        <w:rPr>
          <w:rFonts w:ascii="Arial"/>
          <w:b/>
          <w:sz w:val="29"/>
        </w:rPr>
      </w:pPr>
      <w:r>
        <w:rPr>
          <w:rFonts w:ascii="Arial"/>
          <w:b/>
          <w:w w:val="105"/>
          <w:sz w:val="29"/>
        </w:rPr>
        <w:t>32.148,21</w:t>
        <w:tab/>
      </w:r>
      <w:r>
        <w:rPr>
          <w:rFonts w:ascii="Arial"/>
          <w:b/>
          <w:spacing w:val="-1"/>
          <w:sz w:val="29"/>
        </w:rPr>
        <w:t>43.735,75</w:t>
      </w:r>
    </w:p>
    <w:p>
      <w:pPr>
        <w:spacing w:before="99"/>
        <w:ind w:left="0" w:right="1640" w:firstLine="0"/>
        <w:jc w:val="right"/>
        <w:rPr>
          <w:rFonts w:ascii="Arial"/>
          <w:b/>
          <w:sz w:val="29"/>
        </w:rPr>
      </w:pPr>
      <w:r>
        <w:rPr>
          <w:rFonts w:ascii="Arial"/>
          <w:b/>
          <w:spacing w:val="-1"/>
          <w:sz w:val="29"/>
        </w:rPr>
        <w:t>28.736,78</w:t>
      </w:r>
    </w:p>
    <w:p>
      <w:pPr>
        <w:spacing w:before="100"/>
        <w:ind w:left="0" w:right="1640" w:firstLine="0"/>
        <w:jc w:val="right"/>
        <w:rPr>
          <w:rFonts w:ascii="Arial"/>
          <w:sz w:val="29"/>
        </w:rPr>
      </w:pPr>
      <w:r>
        <w:rPr>
          <w:rFonts w:ascii="Arial"/>
          <w:spacing w:val="-1"/>
          <w:sz w:val="29"/>
        </w:rPr>
        <w:t>28.736,78</w:t>
      </w:r>
    </w:p>
    <w:p>
      <w:pPr>
        <w:tabs>
          <w:tab w:pos="4321" w:val="left" w:leader="none"/>
        </w:tabs>
        <w:spacing w:before="92"/>
        <w:ind w:left="0" w:right="1640" w:firstLine="0"/>
        <w:jc w:val="right"/>
        <w:rPr>
          <w:rFonts w:ascii="Arial"/>
          <w:b/>
          <w:sz w:val="29"/>
        </w:rPr>
      </w:pPr>
      <w:r>
        <w:rPr>
          <w:rFonts w:ascii="Arial"/>
          <w:b/>
          <w:w w:val="105"/>
          <w:sz w:val="29"/>
        </w:rPr>
        <w:t>32.148,21</w:t>
        <w:tab/>
      </w:r>
      <w:r>
        <w:rPr>
          <w:rFonts w:ascii="Arial"/>
          <w:b/>
          <w:spacing w:val="-1"/>
          <w:sz w:val="29"/>
        </w:rPr>
        <w:t>14.998,97</w:t>
      </w:r>
    </w:p>
    <w:p>
      <w:pPr>
        <w:tabs>
          <w:tab w:pos="4321" w:val="left" w:leader="none"/>
        </w:tabs>
        <w:spacing w:before="99"/>
        <w:ind w:left="0" w:right="1640" w:firstLine="0"/>
        <w:jc w:val="right"/>
        <w:rPr>
          <w:rFonts w:ascii="Arial"/>
          <w:sz w:val="29"/>
        </w:rPr>
      </w:pPr>
      <w:r>
        <w:rPr>
          <w:rFonts w:ascii="Arial"/>
          <w:w w:val="105"/>
          <w:sz w:val="29"/>
        </w:rPr>
        <w:t>32.148,21</w:t>
        <w:tab/>
      </w:r>
      <w:r>
        <w:rPr>
          <w:rFonts w:ascii="Arial"/>
          <w:spacing w:val="-1"/>
          <w:sz w:val="29"/>
        </w:rPr>
        <w:t>14.998,97</w:t>
      </w:r>
    </w:p>
    <w:p>
      <w:pPr>
        <w:spacing w:after="0"/>
        <w:jc w:val="right"/>
        <w:rPr>
          <w:rFonts w:ascii="Arial"/>
          <w:sz w:val="29"/>
        </w:rPr>
        <w:sectPr>
          <w:type w:val="continuous"/>
          <w:pgSz w:w="22430" w:h="31660"/>
          <w:pgMar w:top="420" w:bottom="280" w:left="1220" w:right="1620"/>
          <w:cols w:num="2" w:equalWidth="0">
            <w:col w:w="6705" w:space="5451"/>
            <w:col w:w="7434"/>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5"/>
        </w:rPr>
      </w:pPr>
    </w:p>
    <w:p>
      <w:pPr>
        <w:spacing w:line="357" w:lineRule="auto" w:before="35"/>
        <w:ind w:left="2291" w:right="483" w:hanging="1704"/>
        <w:jc w:val="left"/>
        <w:rPr>
          <w:b/>
          <w:sz w:val="32"/>
        </w:rPr>
      </w:pPr>
      <w:r>
        <w:rPr>
          <w:b/>
          <w:sz w:val="32"/>
        </w:rPr>
        <w:t>MEDIOS DE COMUNICACIÓN MUNICIPALES DE LOS REALEJOS, SOCIEDAD LIMITADA UNIPERSONAL</w:t>
      </w:r>
    </w:p>
    <w:p>
      <w:pPr>
        <w:pStyle w:val="BodyText"/>
        <w:rPr>
          <w:b/>
          <w:sz w:val="32"/>
        </w:rPr>
      </w:pPr>
    </w:p>
    <w:p>
      <w:pPr>
        <w:pStyle w:val="BodyText"/>
        <w:rPr>
          <w:b/>
          <w:sz w:val="32"/>
        </w:rPr>
      </w:pPr>
    </w:p>
    <w:p>
      <w:pPr>
        <w:pStyle w:val="BodyText"/>
        <w:rPr>
          <w:b/>
          <w:sz w:val="32"/>
        </w:rPr>
      </w:pPr>
    </w:p>
    <w:p>
      <w:pPr>
        <w:pStyle w:val="BodyText"/>
        <w:rPr>
          <w:b/>
          <w:sz w:val="32"/>
        </w:rPr>
      </w:pPr>
    </w:p>
    <w:p>
      <w:pPr>
        <w:spacing w:line="424" w:lineRule="auto" w:before="287"/>
        <w:ind w:left="2618" w:right="2987" w:firstLine="972"/>
        <w:jc w:val="left"/>
        <w:rPr>
          <w:sz w:val="27"/>
        </w:rPr>
      </w:pPr>
      <w:r>
        <w:rPr>
          <w:sz w:val="27"/>
        </w:rPr>
        <w:t>EJERCICIO 2024 CUENTAS ANUALES</w:t>
      </w:r>
      <w:r>
        <w:rPr>
          <w:spacing w:val="32"/>
          <w:sz w:val="27"/>
        </w:rPr>
        <w:t> </w:t>
      </w:r>
      <w:r>
        <w:rPr>
          <w:sz w:val="27"/>
        </w:rPr>
        <w:t>ABREVIADAS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r>
        <w:rPr/>
        <w:pict>
          <v:group style="position:absolute;margin-left:111.440002pt;margin-top:14.468168pt;width:400.7pt;height:4.3pt;mso-position-horizontal-relative:page;mso-position-vertical-relative:paragraph;z-index:-251637760;mso-wrap-distance-left:0;mso-wrap-distance-right:0" coordorigin="2229,289" coordsize="8014,86">
            <v:line style="position:absolute" from="2229,318" to="10242,318" stroked="true" strokeweight="2.8374pt" strokecolor="#612322">
              <v:stroke dashstyle="solid"/>
            </v:line>
            <v:line style="position:absolute" from="2229,367" to="10242,367" stroked="true" strokeweight=".70941pt" strokecolor="#612322">
              <v:stroke dashstyle="solid"/>
            </v:line>
            <w10:wrap type="topAndBottom"/>
          </v:group>
        </w:pict>
      </w:r>
    </w:p>
    <w:p>
      <w:pPr>
        <w:pStyle w:val="BodyText"/>
        <w:spacing w:line="201" w:lineRule="exact"/>
        <w:ind w:left="1929" w:right="1385"/>
        <w:jc w:val="center"/>
      </w:pPr>
      <w:r>
        <w:rPr>
          <w:w w:val="105"/>
        </w:rPr>
        <w:t>Consejo de Administración</w:t>
      </w:r>
    </w:p>
    <w:p>
      <w:pPr>
        <w:spacing w:after="0" w:line="201" w:lineRule="exact"/>
        <w:jc w:val="center"/>
        <w:sectPr>
          <w:pgSz w:w="11920" w:h="16850"/>
          <w:pgMar w:top="1600" w:bottom="280" w:left="1300" w:right="1300"/>
        </w:sectPr>
      </w:pPr>
    </w:p>
    <w:p>
      <w:pPr>
        <w:pStyle w:val="BodyText"/>
        <w:rPr>
          <w:sz w:val="13"/>
        </w:rPr>
      </w:pPr>
    </w:p>
    <w:p>
      <w:pPr>
        <w:pStyle w:val="Heading2"/>
        <w:spacing w:line="362" w:lineRule="auto"/>
        <w:ind w:right="1954"/>
      </w:pPr>
      <w:r>
        <w:rPr/>
        <w:t>Balance de Situación Abreviado a 31 de diciembre de 2024 y 2023 (expresado en euros)</w:t>
      </w:r>
    </w:p>
    <w:tbl>
      <w:tblPr>
        <w:tblW w:w="0" w:type="auto"/>
        <w:jc w:val="left"/>
        <w:tblInd w:w="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2"/>
        <w:gridCol w:w="1735"/>
        <w:gridCol w:w="1102"/>
        <w:gridCol w:w="1038"/>
      </w:tblGrid>
      <w:tr>
        <w:trPr>
          <w:trHeight w:val="480" w:hRule="atLeast"/>
        </w:trPr>
        <w:tc>
          <w:tcPr>
            <w:tcW w:w="4792" w:type="dxa"/>
            <w:tcBorders>
              <w:top w:val="single" w:sz="4" w:space="0" w:color="000000"/>
              <w:bottom w:val="single" w:sz="4" w:space="0" w:color="000000"/>
            </w:tcBorders>
            <w:shd w:val="clear" w:color="auto" w:fill="D9D9D9"/>
          </w:tcPr>
          <w:p>
            <w:pPr>
              <w:pStyle w:val="TableParagraph"/>
              <w:spacing w:before="5"/>
              <w:jc w:val="left"/>
              <w:rPr>
                <w:b/>
                <w:sz w:val="21"/>
              </w:rPr>
            </w:pPr>
          </w:p>
          <w:p>
            <w:pPr>
              <w:pStyle w:val="TableParagraph"/>
              <w:spacing w:line="198" w:lineRule="exact" w:before="1"/>
              <w:ind w:left="2468" w:right="1718"/>
              <w:jc w:val="center"/>
              <w:rPr>
                <w:b/>
                <w:sz w:val="17"/>
              </w:rPr>
            </w:pPr>
            <w:r>
              <w:rPr>
                <w:b/>
                <w:w w:val="105"/>
                <w:sz w:val="17"/>
              </w:rPr>
              <w:t>ACTIVO</w:t>
            </w:r>
          </w:p>
        </w:tc>
        <w:tc>
          <w:tcPr>
            <w:tcW w:w="1735" w:type="dxa"/>
            <w:tcBorders>
              <w:top w:val="single" w:sz="4" w:space="0" w:color="000000"/>
              <w:bottom w:val="single" w:sz="4" w:space="0" w:color="000000"/>
            </w:tcBorders>
            <w:shd w:val="clear" w:color="auto" w:fill="D9D9D9"/>
          </w:tcPr>
          <w:p>
            <w:pPr>
              <w:pStyle w:val="TableParagraph"/>
              <w:spacing w:line="220" w:lineRule="atLeast" w:before="29"/>
              <w:ind w:left="921" w:right="111" w:firstLine="127"/>
              <w:jc w:val="left"/>
              <w:rPr>
                <w:b/>
                <w:sz w:val="17"/>
              </w:rPr>
            </w:pPr>
            <w:r>
              <w:rPr>
                <w:b/>
                <w:w w:val="105"/>
                <w:sz w:val="17"/>
              </w:rPr>
              <w:t>Notas Memoria</w:t>
            </w:r>
          </w:p>
        </w:tc>
        <w:tc>
          <w:tcPr>
            <w:tcW w:w="1102" w:type="dxa"/>
            <w:tcBorders>
              <w:top w:val="single" w:sz="4" w:space="0" w:color="000000"/>
              <w:bottom w:val="single" w:sz="4" w:space="0" w:color="000000"/>
            </w:tcBorders>
            <w:shd w:val="clear" w:color="auto" w:fill="D9D9D9"/>
          </w:tcPr>
          <w:p>
            <w:pPr>
              <w:pStyle w:val="TableParagraph"/>
              <w:spacing w:before="5"/>
              <w:jc w:val="left"/>
              <w:rPr>
                <w:b/>
                <w:sz w:val="21"/>
              </w:rPr>
            </w:pPr>
          </w:p>
          <w:p>
            <w:pPr>
              <w:pStyle w:val="TableParagraph"/>
              <w:spacing w:line="198" w:lineRule="exact" w:before="1"/>
              <w:ind w:right="79"/>
              <w:rPr>
                <w:b/>
                <w:sz w:val="17"/>
              </w:rPr>
            </w:pPr>
            <w:r>
              <w:rPr>
                <w:b/>
                <w:w w:val="105"/>
                <w:sz w:val="17"/>
              </w:rPr>
              <w:t>31/12/2024</w:t>
            </w:r>
          </w:p>
        </w:tc>
        <w:tc>
          <w:tcPr>
            <w:tcW w:w="1038" w:type="dxa"/>
            <w:tcBorders>
              <w:top w:val="single" w:sz="4" w:space="0" w:color="000000"/>
              <w:bottom w:val="single" w:sz="4" w:space="0" w:color="000000"/>
            </w:tcBorders>
            <w:shd w:val="clear" w:color="auto" w:fill="D9D9D9"/>
          </w:tcPr>
          <w:p>
            <w:pPr>
              <w:pStyle w:val="TableParagraph"/>
              <w:spacing w:before="5"/>
              <w:jc w:val="left"/>
              <w:rPr>
                <w:b/>
                <w:sz w:val="21"/>
              </w:rPr>
            </w:pPr>
          </w:p>
          <w:p>
            <w:pPr>
              <w:pStyle w:val="TableParagraph"/>
              <w:spacing w:line="198" w:lineRule="exact" w:before="1"/>
              <w:ind w:right="73"/>
              <w:rPr>
                <w:b/>
                <w:sz w:val="17"/>
              </w:rPr>
            </w:pPr>
            <w:r>
              <w:rPr>
                <w:b/>
                <w:w w:val="105"/>
                <w:sz w:val="17"/>
              </w:rPr>
              <w:t>31/12/2023</w:t>
            </w:r>
          </w:p>
        </w:tc>
      </w:tr>
      <w:tr>
        <w:trPr>
          <w:trHeight w:val="232" w:hRule="atLeast"/>
        </w:trPr>
        <w:tc>
          <w:tcPr>
            <w:tcW w:w="4792" w:type="dxa"/>
            <w:tcBorders>
              <w:top w:val="single" w:sz="4" w:space="0" w:color="000000"/>
            </w:tcBorders>
          </w:tcPr>
          <w:p>
            <w:pPr>
              <w:pStyle w:val="TableParagraph"/>
              <w:spacing w:before="0"/>
              <w:jc w:val="left"/>
              <w:rPr>
                <w:rFonts w:ascii="Times New Roman"/>
                <w:sz w:val="16"/>
              </w:rPr>
            </w:pPr>
          </w:p>
        </w:tc>
        <w:tc>
          <w:tcPr>
            <w:tcW w:w="1735" w:type="dxa"/>
            <w:tcBorders>
              <w:top w:val="single" w:sz="4" w:space="0" w:color="000000"/>
            </w:tcBorders>
          </w:tcPr>
          <w:p>
            <w:pPr>
              <w:pStyle w:val="TableParagraph"/>
              <w:spacing w:before="0"/>
              <w:jc w:val="left"/>
              <w:rPr>
                <w:rFonts w:ascii="Times New Roman"/>
                <w:sz w:val="16"/>
              </w:rPr>
            </w:pPr>
          </w:p>
        </w:tc>
        <w:tc>
          <w:tcPr>
            <w:tcW w:w="1102" w:type="dxa"/>
            <w:tcBorders>
              <w:top w:val="single" w:sz="4" w:space="0" w:color="000000"/>
            </w:tcBorders>
          </w:tcPr>
          <w:p>
            <w:pPr>
              <w:pStyle w:val="TableParagraph"/>
              <w:spacing w:before="0"/>
              <w:jc w:val="left"/>
              <w:rPr>
                <w:rFonts w:ascii="Times New Roman"/>
                <w:sz w:val="16"/>
              </w:rPr>
            </w:pPr>
          </w:p>
        </w:tc>
        <w:tc>
          <w:tcPr>
            <w:tcW w:w="1038" w:type="dxa"/>
            <w:tcBorders>
              <w:top w:val="single" w:sz="4" w:space="0" w:color="000000"/>
            </w:tcBorders>
          </w:tcPr>
          <w:p>
            <w:pPr>
              <w:pStyle w:val="TableParagraph"/>
              <w:spacing w:before="0"/>
              <w:jc w:val="left"/>
              <w:rPr>
                <w:rFonts w:ascii="Times New Roman"/>
                <w:sz w:val="16"/>
              </w:rPr>
            </w:pPr>
          </w:p>
        </w:tc>
      </w:tr>
      <w:tr>
        <w:trPr>
          <w:trHeight w:val="283" w:hRule="atLeast"/>
        </w:trPr>
        <w:tc>
          <w:tcPr>
            <w:tcW w:w="4792" w:type="dxa"/>
            <w:shd w:val="clear" w:color="auto" w:fill="F1F1F1"/>
          </w:tcPr>
          <w:p>
            <w:pPr>
              <w:pStyle w:val="TableParagraph"/>
              <w:spacing w:before="36"/>
              <w:ind w:left="85"/>
              <w:jc w:val="left"/>
              <w:rPr>
                <w:b/>
                <w:sz w:val="17"/>
              </w:rPr>
            </w:pPr>
            <w:r>
              <w:rPr>
                <w:b/>
                <w:w w:val="105"/>
                <w:sz w:val="17"/>
              </w:rPr>
              <w:t>A) ACTIVO NO CORRIENTE</w:t>
            </w:r>
          </w:p>
        </w:tc>
        <w:tc>
          <w:tcPr>
            <w:tcW w:w="1735" w:type="dxa"/>
            <w:shd w:val="clear" w:color="auto" w:fill="F1F1F1"/>
          </w:tcPr>
          <w:p>
            <w:pPr>
              <w:pStyle w:val="TableParagraph"/>
              <w:spacing w:before="0"/>
              <w:jc w:val="left"/>
              <w:rPr>
                <w:rFonts w:ascii="Times New Roman"/>
                <w:sz w:val="16"/>
              </w:rPr>
            </w:pPr>
          </w:p>
        </w:tc>
        <w:tc>
          <w:tcPr>
            <w:tcW w:w="1102" w:type="dxa"/>
            <w:shd w:val="clear" w:color="auto" w:fill="F1F1F1"/>
          </w:tcPr>
          <w:p>
            <w:pPr>
              <w:pStyle w:val="TableParagraph"/>
              <w:spacing w:before="36"/>
              <w:ind w:right="71"/>
              <w:rPr>
                <w:b/>
                <w:sz w:val="17"/>
              </w:rPr>
            </w:pPr>
            <w:r>
              <w:rPr>
                <w:b/>
                <w:w w:val="105"/>
                <w:sz w:val="17"/>
              </w:rPr>
              <w:t>34.770,75</w:t>
            </w:r>
          </w:p>
        </w:tc>
        <w:tc>
          <w:tcPr>
            <w:tcW w:w="1038" w:type="dxa"/>
            <w:shd w:val="clear" w:color="auto" w:fill="F1F1F1"/>
          </w:tcPr>
          <w:p>
            <w:pPr>
              <w:pStyle w:val="TableParagraph"/>
              <w:spacing w:before="36"/>
              <w:ind w:right="73"/>
              <w:rPr>
                <w:b/>
                <w:sz w:val="17"/>
              </w:rPr>
            </w:pPr>
            <w:r>
              <w:rPr>
                <w:b/>
                <w:w w:val="105"/>
                <w:sz w:val="17"/>
              </w:rPr>
              <w:t>8.922,80</w:t>
            </w:r>
          </w:p>
        </w:tc>
      </w:tr>
      <w:tr>
        <w:trPr>
          <w:trHeight w:val="511" w:hRule="atLeast"/>
        </w:trPr>
        <w:tc>
          <w:tcPr>
            <w:tcW w:w="4792" w:type="dxa"/>
          </w:tcPr>
          <w:p>
            <w:pPr>
              <w:pStyle w:val="TableParagraph"/>
              <w:spacing w:before="36"/>
              <w:ind w:left="85"/>
              <w:jc w:val="left"/>
              <w:rPr>
                <w:b/>
                <w:sz w:val="17"/>
              </w:rPr>
            </w:pPr>
            <w:r>
              <w:rPr>
                <w:b/>
                <w:w w:val="105"/>
                <w:sz w:val="17"/>
              </w:rPr>
              <w:t>Inmovilizado material</w:t>
            </w:r>
          </w:p>
        </w:tc>
        <w:tc>
          <w:tcPr>
            <w:tcW w:w="1735" w:type="dxa"/>
          </w:tcPr>
          <w:p>
            <w:pPr>
              <w:pStyle w:val="TableParagraph"/>
              <w:spacing w:before="36"/>
              <w:ind w:left="795"/>
              <w:jc w:val="center"/>
              <w:rPr>
                <w:b/>
                <w:sz w:val="17"/>
              </w:rPr>
            </w:pPr>
            <w:r>
              <w:rPr>
                <w:b/>
                <w:w w:val="104"/>
                <w:sz w:val="17"/>
              </w:rPr>
              <w:t>4</w:t>
            </w:r>
          </w:p>
        </w:tc>
        <w:tc>
          <w:tcPr>
            <w:tcW w:w="1102" w:type="dxa"/>
          </w:tcPr>
          <w:p>
            <w:pPr>
              <w:pStyle w:val="TableParagraph"/>
              <w:spacing w:before="36"/>
              <w:ind w:right="71"/>
              <w:rPr>
                <w:b/>
                <w:sz w:val="17"/>
              </w:rPr>
            </w:pPr>
            <w:r>
              <w:rPr>
                <w:b/>
                <w:w w:val="105"/>
                <w:sz w:val="17"/>
              </w:rPr>
              <w:t>34.770,75</w:t>
            </w:r>
          </w:p>
        </w:tc>
        <w:tc>
          <w:tcPr>
            <w:tcW w:w="1038" w:type="dxa"/>
          </w:tcPr>
          <w:p>
            <w:pPr>
              <w:pStyle w:val="TableParagraph"/>
              <w:spacing w:before="36"/>
              <w:ind w:right="73"/>
              <w:rPr>
                <w:b/>
                <w:sz w:val="17"/>
              </w:rPr>
            </w:pPr>
            <w:r>
              <w:rPr>
                <w:b/>
                <w:w w:val="105"/>
                <w:sz w:val="17"/>
              </w:rPr>
              <w:t>8.922,80</w:t>
            </w:r>
          </w:p>
        </w:tc>
      </w:tr>
      <w:tr>
        <w:trPr>
          <w:trHeight w:val="283" w:hRule="atLeast"/>
        </w:trPr>
        <w:tc>
          <w:tcPr>
            <w:tcW w:w="4792" w:type="dxa"/>
            <w:shd w:val="clear" w:color="auto" w:fill="F1F1F1"/>
          </w:tcPr>
          <w:p>
            <w:pPr>
              <w:pStyle w:val="TableParagraph"/>
              <w:spacing w:before="36"/>
              <w:ind w:left="85"/>
              <w:jc w:val="left"/>
              <w:rPr>
                <w:b/>
                <w:sz w:val="17"/>
              </w:rPr>
            </w:pPr>
            <w:r>
              <w:rPr>
                <w:b/>
                <w:w w:val="105"/>
                <w:sz w:val="17"/>
              </w:rPr>
              <w:t>B) ACTIVO CORRIENTE</w:t>
            </w:r>
          </w:p>
        </w:tc>
        <w:tc>
          <w:tcPr>
            <w:tcW w:w="1735" w:type="dxa"/>
            <w:shd w:val="clear" w:color="auto" w:fill="F1F1F1"/>
          </w:tcPr>
          <w:p>
            <w:pPr>
              <w:pStyle w:val="TableParagraph"/>
              <w:spacing w:before="0"/>
              <w:jc w:val="left"/>
              <w:rPr>
                <w:rFonts w:ascii="Times New Roman"/>
                <w:sz w:val="16"/>
              </w:rPr>
            </w:pPr>
          </w:p>
        </w:tc>
        <w:tc>
          <w:tcPr>
            <w:tcW w:w="1102" w:type="dxa"/>
            <w:shd w:val="clear" w:color="auto" w:fill="F1F1F1"/>
          </w:tcPr>
          <w:p>
            <w:pPr>
              <w:pStyle w:val="TableParagraph"/>
              <w:spacing w:before="36"/>
              <w:ind w:right="71"/>
              <w:rPr>
                <w:b/>
                <w:sz w:val="17"/>
              </w:rPr>
            </w:pPr>
            <w:r>
              <w:rPr>
                <w:b/>
                <w:w w:val="105"/>
                <w:sz w:val="17"/>
              </w:rPr>
              <w:t>45.591,20</w:t>
            </w:r>
          </w:p>
        </w:tc>
        <w:tc>
          <w:tcPr>
            <w:tcW w:w="1038" w:type="dxa"/>
            <w:shd w:val="clear" w:color="auto" w:fill="F1F1F1"/>
          </w:tcPr>
          <w:p>
            <w:pPr>
              <w:pStyle w:val="TableParagraph"/>
              <w:spacing w:before="36"/>
              <w:ind w:right="66"/>
              <w:rPr>
                <w:b/>
                <w:sz w:val="17"/>
              </w:rPr>
            </w:pPr>
            <w:r>
              <w:rPr>
                <w:b/>
                <w:w w:val="105"/>
                <w:sz w:val="17"/>
              </w:rPr>
              <w:t>38.080,92</w:t>
            </w:r>
          </w:p>
        </w:tc>
      </w:tr>
      <w:tr>
        <w:trPr>
          <w:trHeight w:val="303" w:hRule="atLeast"/>
        </w:trPr>
        <w:tc>
          <w:tcPr>
            <w:tcW w:w="4792" w:type="dxa"/>
          </w:tcPr>
          <w:p>
            <w:pPr>
              <w:pStyle w:val="TableParagraph"/>
              <w:spacing w:before="36"/>
              <w:ind w:left="85"/>
              <w:jc w:val="left"/>
              <w:rPr>
                <w:b/>
                <w:sz w:val="17"/>
              </w:rPr>
            </w:pPr>
            <w:r>
              <w:rPr>
                <w:b/>
                <w:w w:val="105"/>
                <w:sz w:val="17"/>
              </w:rPr>
              <w:t>Deudores comerciales y otras cuentas a cobrar</w:t>
            </w:r>
          </w:p>
        </w:tc>
        <w:tc>
          <w:tcPr>
            <w:tcW w:w="1735" w:type="dxa"/>
          </w:tcPr>
          <w:p>
            <w:pPr>
              <w:pStyle w:val="TableParagraph"/>
              <w:spacing w:before="36"/>
              <w:ind w:left="959" w:right="159"/>
              <w:jc w:val="center"/>
              <w:rPr>
                <w:b/>
                <w:sz w:val="17"/>
              </w:rPr>
            </w:pPr>
            <w:r>
              <w:rPr>
                <w:b/>
                <w:w w:val="105"/>
                <w:sz w:val="17"/>
              </w:rPr>
              <w:t>5 y 8</w:t>
            </w:r>
          </w:p>
        </w:tc>
        <w:tc>
          <w:tcPr>
            <w:tcW w:w="1102" w:type="dxa"/>
          </w:tcPr>
          <w:p>
            <w:pPr>
              <w:pStyle w:val="TableParagraph"/>
              <w:spacing w:before="36"/>
              <w:ind w:right="78"/>
              <w:rPr>
                <w:b/>
                <w:sz w:val="17"/>
              </w:rPr>
            </w:pPr>
            <w:r>
              <w:rPr>
                <w:b/>
                <w:w w:val="105"/>
                <w:sz w:val="17"/>
              </w:rPr>
              <w:t>6.841,25</w:t>
            </w:r>
          </w:p>
        </w:tc>
        <w:tc>
          <w:tcPr>
            <w:tcW w:w="1038" w:type="dxa"/>
          </w:tcPr>
          <w:p>
            <w:pPr>
              <w:pStyle w:val="TableParagraph"/>
              <w:spacing w:before="36"/>
              <w:ind w:right="73"/>
              <w:rPr>
                <w:b/>
                <w:sz w:val="17"/>
              </w:rPr>
            </w:pPr>
            <w:r>
              <w:rPr>
                <w:b/>
                <w:w w:val="105"/>
                <w:sz w:val="17"/>
              </w:rPr>
              <w:t>7.749,41</w:t>
            </w:r>
          </w:p>
        </w:tc>
      </w:tr>
      <w:tr>
        <w:trPr>
          <w:trHeight w:val="283" w:hRule="atLeast"/>
        </w:trPr>
        <w:tc>
          <w:tcPr>
            <w:tcW w:w="4792" w:type="dxa"/>
          </w:tcPr>
          <w:p>
            <w:pPr>
              <w:pStyle w:val="TableParagraph"/>
              <w:spacing w:before="16"/>
              <w:ind w:left="85"/>
              <w:jc w:val="left"/>
              <w:rPr>
                <w:sz w:val="17"/>
              </w:rPr>
            </w:pPr>
            <w:r>
              <w:rPr>
                <w:w w:val="105"/>
                <w:sz w:val="17"/>
              </w:rPr>
              <w:t>Clientes por ventas y Prestaciones de servicios</w:t>
            </w:r>
          </w:p>
        </w:tc>
        <w:tc>
          <w:tcPr>
            <w:tcW w:w="1735" w:type="dxa"/>
          </w:tcPr>
          <w:p>
            <w:pPr>
              <w:pStyle w:val="TableParagraph"/>
              <w:spacing w:before="0"/>
              <w:jc w:val="left"/>
              <w:rPr>
                <w:rFonts w:ascii="Times New Roman"/>
                <w:sz w:val="16"/>
              </w:rPr>
            </w:pPr>
          </w:p>
        </w:tc>
        <w:tc>
          <w:tcPr>
            <w:tcW w:w="1102" w:type="dxa"/>
          </w:tcPr>
          <w:p>
            <w:pPr>
              <w:pStyle w:val="TableParagraph"/>
              <w:spacing w:before="16"/>
              <w:ind w:right="78"/>
              <w:rPr>
                <w:sz w:val="17"/>
              </w:rPr>
            </w:pPr>
            <w:r>
              <w:rPr>
                <w:w w:val="105"/>
                <w:sz w:val="17"/>
              </w:rPr>
              <w:t>4.905,12</w:t>
            </w:r>
          </w:p>
        </w:tc>
        <w:tc>
          <w:tcPr>
            <w:tcW w:w="1038" w:type="dxa"/>
          </w:tcPr>
          <w:p>
            <w:pPr>
              <w:pStyle w:val="TableParagraph"/>
              <w:spacing w:before="16"/>
              <w:ind w:right="73"/>
              <w:rPr>
                <w:sz w:val="17"/>
              </w:rPr>
            </w:pPr>
            <w:r>
              <w:rPr>
                <w:w w:val="105"/>
                <w:sz w:val="17"/>
              </w:rPr>
              <w:t>4.905,86</w:t>
            </w:r>
          </w:p>
        </w:tc>
      </w:tr>
      <w:tr>
        <w:trPr>
          <w:trHeight w:val="283" w:hRule="atLeast"/>
        </w:trPr>
        <w:tc>
          <w:tcPr>
            <w:tcW w:w="4792" w:type="dxa"/>
          </w:tcPr>
          <w:p>
            <w:pPr>
              <w:pStyle w:val="TableParagraph"/>
              <w:spacing w:before="16"/>
              <w:ind w:left="85"/>
              <w:jc w:val="left"/>
              <w:rPr>
                <w:sz w:val="17"/>
              </w:rPr>
            </w:pPr>
            <w:r>
              <w:rPr>
                <w:w w:val="105"/>
                <w:sz w:val="17"/>
              </w:rPr>
              <w:t>Deudores varios</w:t>
            </w:r>
          </w:p>
        </w:tc>
        <w:tc>
          <w:tcPr>
            <w:tcW w:w="1735" w:type="dxa"/>
          </w:tcPr>
          <w:p>
            <w:pPr>
              <w:pStyle w:val="TableParagraph"/>
              <w:spacing w:before="0"/>
              <w:jc w:val="left"/>
              <w:rPr>
                <w:rFonts w:ascii="Times New Roman"/>
                <w:sz w:val="16"/>
              </w:rPr>
            </w:pPr>
          </w:p>
        </w:tc>
        <w:tc>
          <w:tcPr>
            <w:tcW w:w="1102" w:type="dxa"/>
          </w:tcPr>
          <w:p>
            <w:pPr>
              <w:pStyle w:val="TableParagraph"/>
              <w:spacing w:before="16"/>
              <w:ind w:right="78"/>
              <w:rPr>
                <w:sz w:val="17"/>
              </w:rPr>
            </w:pPr>
            <w:r>
              <w:rPr>
                <w:w w:val="105"/>
                <w:sz w:val="17"/>
              </w:rPr>
              <w:t>1.936,13</w:t>
            </w:r>
          </w:p>
        </w:tc>
        <w:tc>
          <w:tcPr>
            <w:tcW w:w="1038" w:type="dxa"/>
          </w:tcPr>
          <w:p>
            <w:pPr>
              <w:pStyle w:val="TableParagraph"/>
              <w:spacing w:before="16"/>
              <w:ind w:right="73"/>
              <w:rPr>
                <w:sz w:val="17"/>
              </w:rPr>
            </w:pPr>
            <w:r>
              <w:rPr>
                <w:w w:val="105"/>
                <w:sz w:val="17"/>
              </w:rPr>
              <w:t>2.843,55</w:t>
            </w:r>
          </w:p>
        </w:tc>
      </w:tr>
      <w:tr>
        <w:trPr>
          <w:trHeight w:val="280" w:hRule="atLeast"/>
        </w:trPr>
        <w:tc>
          <w:tcPr>
            <w:tcW w:w="4792" w:type="dxa"/>
          </w:tcPr>
          <w:p>
            <w:pPr>
              <w:pStyle w:val="TableParagraph"/>
              <w:spacing w:before="17"/>
              <w:ind w:left="85"/>
              <w:jc w:val="left"/>
              <w:rPr>
                <w:b/>
                <w:sz w:val="17"/>
              </w:rPr>
            </w:pPr>
            <w:r>
              <w:rPr>
                <w:b/>
                <w:w w:val="105"/>
                <w:sz w:val="17"/>
              </w:rPr>
              <w:t>Inversiones financieras a corto plazo</w:t>
            </w:r>
          </w:p>
        </w:tc>
        <w:tc>
          <w:tcPr>
            <w:tcW w:w="1735" w:type="dxa"/>
          </w:tcPr>
          <w:p>
            <w:pPr>
              <w:pStyle w:val="TableParagraph"/>
              <w:spacing w:before="17"/>
              <w:ind w:left="795"/>
              <w:jc w:val="center"/>
              <w:rPr>
                <w:b/>
                <w:sz w:val="17"/>
              </w:rPr>
            </w:pPr>
            <w:r>
              <w:rPr>
                <w:b/>
                <w:w w:val="104"/>
                <w:sz w:val="17"/>
              </w:rPr>
              <w:t>5</w:t>
            </w:r>
          </w:p>
        </w:tc>
        <w:tc>
          <w:tcPr>
            <w:tcW w:w="1102" w:type="dxa"/>
          </w:tcPr>
          <w:p>
            <w:pPr>
              <w:pStyle w:val="TableParagraph"/>
              <w:spacing w:before="17"/>
              <w:ind w:right="78"/>
              <w:rPr>
                <w:b/>
                <w:sz w:val="17"/>
              </w:rPr>
            </w:pPr>
            <w:r>
              <w:rPr>
                <w:b/>
                <w:w w:val="105"/>
                <w:sz w:val="17"/>
              </w:rPr>
              <w:t>1.500,00</w:t>
            </w:r>
          </w:p>
        </w:tc>
        <w:tc>
          <w:tcPr>
            <w:tcW w:w="1038" w:type="dxa"/>
          </w:tcPr>
          <w:p>
            <w:pPr>
              <w:pStyle w:val="TableParagraph"/>
              <w:spacing w:before="17"/>
              <w:ind w:right="73"/>
              <w:rPr>
                <w:b/>
                <w:sz w:val="17"/>
              </w:rPr>
            </w:pPr>
            <w:r>
              <w:rPr>
                <w:b/>
                <w:w w:val="105"/>
                <w:sz w:val="17"/>
              </w:rPr>
              <w:t>1.000,00</w:t>
            </w:r>
          </w:p>
        </w:tc>
      </w:tr>
      <w:tr>
        <w:trPr>
          <w:trHeight w:val="280" w:hRule="atLeast"/>
        </w:trPr>
        <w:tc>
          <w:tcPr>
            <w:tcW w:w="4792" w:type="dxa"/>
          </w:tcPr>
          <w:p>
            <w:pPr>
              <w:pStyle w:val="TableParagraph"/>
              <w:spacing w:before="13"/>
              <w:ind w:left="85"/>
              <w:jc w:val="left"/>
              <w:rPr>
                <w:sz w:val="17"/>
              </w:rPr>
            </w:pPr>
            <w:r>
              <w:rPr>
                <w:w w:val="105"/>
                <w:sz w:val="17"/>
              </w:rPr>
              <w:t>Otros activos financieros</w:t>
            </w:r>
          </w:p>
        </w:tc>
        <w:tc>
          <w:tcPr>
            <w:tcW w:w="1735" w:type="dxa"/>
          </w:tcPr>
          <w:p>
            <w:pPr>
              <w:pStyle w:val="TableParagraph"/>
              <w:spacing w:before="0"/>
              <w:jc w:val="left"/>
              <w:rPr>
                <w:rFonts w:ascii="Times New Roman"/>
                <w:sz w:val="16"/>
              </w:rPr>
            </w:pPr>
          </w:p>
        </w:tc>
        <w:tc>
          <w:tcPr>
            <w:tcW w:w="1102" w:type="dxa"/>
          </w:tcPr>
          <w:p>
            <w:pPr>
              <w:pStyle w:val="TableParagraph"/>
              <w:spacing w:before="13"/>
              <w:ind w:right="78"/>
              <w:rPr>
                <w:sz w:val="17"/>
              </w:rPr>
            </w:pPr>
            <w:r>
              <w:rPr>
                <w:w w:val="105"/>
                <w:sz w:val="17"/>
              </w:rPr>
              <w:t>1.500,00</w:t>
            </w:r>
          </w:p>
        </w:tc>
        <w:tc>
          <w:tcPr>
            <w:tcW w:w="1038" w:type="dxa"/>
          </w:tcPr>
          <w:p>
            <w:pPr>
              <w:pStyle w:val="TableParagraph"/>
              <w:spacing w:before="13"/>
              <w:ind w:right="73"/>
              <w:rPr>
                <w:sz w:val="17"/>
              </w:rPr>
            </w:pPr>
            <w:r>
              <w:rPr>
                <w:w w:val="105"/>
                <w:sz w:val="17"/>
              </w:rPr>
              <w:t>1.000,00</w:t>
            </w:r>
          </w:p>
        </w:tc>
      </w:tr>
      <w:tr>
        <w:trPr>
          <w:trHeight w:val="269" w:hRule="atLeast"/>
        </w:trPr>
        <w:tc>
          <w:tcPr>
            <w:tcW w:w="4792" w:type="dxa"/>
            <w:tcBorders>
              <w:bottom w:val="single" w:sz="4" w:space="0" w:color="000000"/>
            </w:tcBorders>
          </w:tcPr>
          <w:p>
            <w:pPr>
              <w:pStyle w:val="TableParagraph"/>
              <w:spacing w:before="16"/>
              <w:ind w:left="85"/>
              <w:jc w:val="left"/>
              <w:rPr>
                <w:b/>
                <w:sz w:val="17"/>
              </w:rPr>
            </w:pPr>
            <w:r>
              <w:rPr>
                <w:b/>
                <w:w w:val="105"/>
                <w:sz w:val="17"/>
              </w:rPr>
              <w:t>Efectivo y otros activos líquidos equivalentes</w:t>
            </w:r>
          </w:p>
        </w:tc>
        <w:tc>
          <w:tcPr>
            <w:tcW w:w="1735" w:type="dxa"/>
            <w:tcBorders>
              <w:bottom w:val="single" w:sz="4" w:space="0" w:color="000000"/>
            </w:tcBorders>
          </w:tcPr>
          <w:p>
            <w:pPr>
              <w:pStyle w:val="TableParagraph"/>
              <w:spacing w:before="16"/>
              <w:ind w:left="795"/>
              <w:jc w:val="center"/>
              <w:rPr>
                <w:b/>
                <w:sz w:val="17"/>
              </w:rPr>
            </w:pPr>
            <w:r>
              <w:rPr>
                <w:b/>
                <w:w w:val="104"/>
                <w:sz w:val="17"/>
              </w:rPr>
              <w:t>5</w:t>
            </w:r>
          </w:p>
        </w:tc>
        <w:tc>
          <w:tcPr>
            <w:tcW w:w="1102" w:type="dxa"/>
            <w:tcBorders>
              <w:bottom w:val="single" w:sz="4" w:space="0" w:color="000000"/>
            </w:tcBorders>
          </w:tcPr>
          <w:p>
            <w:pPr>
              <w:pStyle w:val="TableParagraph"/>
              <w:spacing w:before="16"/>
              <w:ind w:right="71"/>
              <w:rPr>
                <w:b/>
                <w:sz w:val="17"/>
              </w:rPr>
            </w:pPr>
            <w:r>
              <w:rPr>
                <w:b/>
                <w:w w:val="105"/>
                <w:sz w:val="17"/>
              </w:rPr>
              <w:t>37.249,95</w:t>
            </w:r>
          </w:p>
        </w:tc>
        <w:tc>
          <w:tcPr>
            <w:tcW w:w="1038" w:type="dxa"/>
            <w:tcBorders>
              <w:bottom w:val="single" w:sz="4" w:space="0" w:color="000000"/>
            </w:tcBorders>
          </w:tcPr>
          <w:p>
            <w:pPr>
              <w:pStyle w:val="TableParagraph"/>
              <w:spacing w:before="16"/>
              <w:ind w:right="66"/>
              <w:rPr>
                <w:b/>
                <w:sz w:val="17"/>
              </w:rPr>
            </w:pPr>
            <w:r>
              <w:rPr>
                <w:b/>
                <w:w w:val="105"/>
                <w:sz w:val="17"/>
              </w:rPr>
              <w:t>29.331,51</w:t>
            </w:r>
          </w:p>
        </w:tc>
      </w:tr>
      <w:tr>
        <w:trPr>
          <w:trHeight w:val="280" w:hRule="atLeast"/>
        </w:trPr>
        <w:tc>
          <w:tcPr>
            <w:tcW w:w="4792" w:type="dxa"/>
            <w:tcBorders>
              <w:top w:val="single" w:sz="4" w:space="0" w:color="000000"/>
              <w:bottom w:val="single" w:sz="4" w:space="0" w:color="000000"/>
            </w:tcBorders>
            <w:shd w:val="clear" w:color="auto" w:fill="F1F1F1"/>
          </w:tcPr>
          <w:p>
            <w:pPr>
              <w:pStyle w:val="TableParagraph"/>
              <w:spacing w:before="34"/>
              <w:ind w:left="85"/>
              <w:jc w:val="left"/>
              <w:rPr>
                <w:b/>
                <w:sz w:val="17"/>
              </w:rPr>
            </w:pPr>
            <w:r>
              <w:rPr>
                <w:b/>
                <w:w w:val="105"/>
                <w:sz w:val="17"/>
              </w:rPr>
              <w:t>TOTAL ACTIVO</w:t>
            </w:r>
          </w:p>
        </w:tc>
        <w:tc>
          <w:tcPr>
            <w:tcW w:w="1735" w:type="dxa"/>
            <w:tcBorders>
              <w:top w:val="single" w:sz="4" w:space="0" w:color="000000"/>
              <w:bottom w:val="single" w:sz="4" w:space="0" w:color="000000"/>
            </w:tcBorders>
            <w:shd w:val="clear" w:color="auto" w:fill="F1F1F1"/>
          </w:tcPr>
          <w:p>
            <w:pPr>
              <w:pStyle w:val="TableParagraph"/>
              <w:spacing w:before="0"/>
              <w:jc w:val="left"/>
              <w:rPr>
                <w:rFonts w:ascii="Times New Roman"/>
                <w:sz w:val="16"/>
              </w:rPr>
            </w:pPr>
          </w:p>
        </w:tc>
        <w:tc>
          <w:tcPr>
            <w:tcW w:w="1102" w:type="dxa"/>
            <w:tcBorders>
              <w:top w:val="single" w:sz="4" w:space="0" w:color="000000"/>
              <w:bottom w:val="single" w:sz="4" w:space="0" w:color="000000"/>
            </w:tcBorders>
            <w:shd w:val="clear" w:color="auto" w:fill="F1F1F1"/>
          </w:tcPr>
          <w:p>
            <w:pPr>
              <w:pStyle w:val="TableParagraph"/>
              <w:spacing w:before="34"/>
              <w:ind w:right="71"/>
              <w:rPr>
                <w:b/>
                <w:sz w:val="17"/>
              </w:rPr>
            </w:pPr>
            <w:r>
              <w:rPr>
                <w:b/>
                <w:w w:val="105"/>
                <w:sz w:val="17"/>
              </w:rPr>
              <w:t>80.361,95</w:t>
            </w:r>
          </w:p>
        </w:tc>
        <w:tc>
          <w:tcPr>
            <w:tcW w:w="1038" w:type="dxa"/>
            <w:tcBorders>
              <w:top w:val="single" w:sz="4" w:space="0" w:color="000000"/>
              <w:bottom w:val="single" w:sz="4" w:space="0" w:color="000000"/>
            </w:tcBorders>
            <w:shd w:val="clear" w:color="auto" w:fill="F1F1F1"/>
          </w:tcPr>
          <w:p>
            <w:pPr>
              <w:pStyle w:val="TableParagraph"/>
              <w:spacing w:before="34"/>
              <w:ind w:right="66"/>
              <w:rPr>
                <w:b/>
                <w:sz w:val="17"/>
              </w:rPr>
            </w:pPr>
            <w:r>
              <w:rPr>
                <w:b/>
                <w:w w:val="105"/>
                <w:sz w:val="17"/>
              </w:rPr>
              <w:t>47.003,72</w:t>
            </w:r>
          </w:p>
        </w:tc>
      </w:tr>
      <w:tr>
        <w:trPr>
          <w:trHeight w:val="238" w:hRule="atLeast"/>
        </w:trPr>
        <w:tc>
          <w:tcPr>
            <w:tcW w:w="4792" w:type="dxa"/>
            <w:tcBorders>
              <w:top w:val="single" w:sz="4" w:space="0" w:color="000000"/>
              <w:bottom w:val="single" w:sz="4" w:space="0" w:color="000000"/>
            </w:tcBorders>
          </w:tcPr>
          <w:p>
            <w:pPr>
              <w:pStyle w:val="TableParagraph"/>
              <w:spacing w:before="0"/>
              <w:jc w:val="left"/>
              <w:rPr>
                <w:rFonts w:ascii="Times New Roman"/>
                <w:sz w:val="16"/>
              </w:rPr>
            </w:pPr>
          </w:p>
        </w:tc>
        <w:tc>
          <w:tcPr>
            <w:tcW w:w="1735" w:type="dxa"/>
            <w:tcBorders>
              <w:top w:val="single" w:sz="4" w:space="0" w:color="000000"/>
              <w:bottom w:val="single" w:sz="4" w:space="0" w:color="000000"/>
            </w:tcBorders>
          </w:tcPr>
          <w:p>
            <w:pPr>
              <w:pStyle w:val="TableParagraph"/>
              <w:spacing w:before="0"/>
              <w:jc w:val="left"/>
              <w:rPr>
                <w:rFonts w:ascii="Times New Roman"/>
                <w:sz w:val="16"/>
              </w:rPr>
            </w:pPr>
          </w:p>
        </w:tc>
        <w:tc>
          <w:tcPr>
            <w:tcW w:w="1102" w:type="dxa"/>
            <w:tcBorders>
              <w:top w:val="single" w:sz="4" w:space="0" w:color="000000"/>
              <w:bottom w:val="single" w:sz="4" w:space="0" w:color="000000"/>
            </w:tcBorders>
          </w:tcPr>
          <w:p>
            <w:pPr>
              <w:pStyle w:val="TableParagraph"/>
              <w:spacing w:before="0"/>
              <w:jc w:val="left"/>
              <w:rPr>
                <w:rFonts w:ascii="Times New Roman"/>
                <w:sz w:val="16"/>
              </w:rPr>
            </w:pPr>
          </w:p>
        </w:tc>
        <w:tc>
          <w:tcPr>
            <w:tcW w:w="1038" w:type="dxa"/>
            <w:tcBorders>
              <w:top w:val="single" w:sz="4" w:space="0" w:color="000000"/>
              <w:bottom w:val="single" w:sz="4" w:space="0" w:color="000000"/>
            </w:tcBorders>
          </w:tcPr>
          <w:p>
            <w:pPr>
              <w:pStyle w:val="TableParagraph"/>
              <w:spacing w:before="0"/>
              <w:jc w:val="left"/>
              <w:rPr>
                <w:rFonts w:ascii="Times New Roman"/>
                <w:sz w:val="16"/>
              </w:rPr>
            </w:pPr>
          </w:p>
        </w:tc>
      </w:tr>
      <w:tr>
        <w:trPr>
          <w:trHeight w:val="479" w:hRule="atLeast"/>
        </w:trPr>
        <w:tc>
          <w:tcPr>
            <w:tcW w:w="4792" w:type="dxa"/>
            <w:tcBorders>
              <w:top w:val="single" w:sz="4" w:space="0" w:color="000000"/>
              <w:bottom w:val="single" w:sz="4" w:space="0" w:color="000000"/>
            </w:tcBorders>
            <w:shd w:val="clear" w:color="auto" w:fill="D9D9D9"/>
          </w:tcPr>
          <w:p>
            <w:pPr>
              <w:pStyle w:val="TableParagraph"/>
              <w:spacing w:before="5"/>
              <w:jc w:val="left"/>
              <w:rPr>
                <w:b/>
                <w:sz w:val="21"/>
              </w:rPr>
            </w:pPr>
          </w:p>
          <w:p>
            <w:pPr>
              <w:pStyle w:val="TableParagraph"/>
              <w:spacing w:line="198" w:lineRule="exact" w:before="0"/>
              <w:ind w:left="1667"/>
              <w:jc w:val="left"/>
              <w:rPr>
                <w:b/>
                <w:sz w:val="17"/>
              </w:rPr>
            </w:pPr>
            <w:r>
              <w:rPr>
                <w:b/>
                <w:w w:val="105"/>
                <w:sz w:val="17"/>
              </w:rPr>
              <w:t>PATRIMONIO NETO Y PASIVO</w:t>
            </w:r>
          </w:p>
        </w:tc>
        <w:tc>
          <w:tcPr>
            <w:tcW w:w="1735" w:type="dxa"/>
            <w:tcBorders>
              <w:top w:val="single" w:sz="4" w:space="0" w:color="000000"/>
              <w:bottom w:val="single" w:sz="4" w:space="0" w:color="000000"/>
            </w:tcBorders>
            <w:shd w:val="clear" w:color="auto" w:fill="D9D9D9"/>
          </w:tcPr>
          <w:p>
            <w:pPr>
              <w:pStyle w:val="TableParagraph"/>
              <w:spacing w:line="220" w:lineRule="atLeast" w:before="29"/>
              <w:ind w:left="921" w:right="111" w:firstLine="127"/>
              <w:jc w:val="left"/>
              <w:rPr>
                <w:b/>
                <w:sz w:val="17"/>
              </w:rPr>
            </w:pPr>
            <w:r>
              <w:rPr>
                <w:b/>
                <w:w w:val="105"/>
                <w:sz w:val="17"/>
              </w:rPr>
              <w:t>Notas Memoria</w:t>
            </w:r>
          </w:p>
        </w:tc>
        <w:tc>
          <w:tcPr>
            <w:tcW w:w="1102" w:type="dxa"/>
            <w:tcBorders>
              <w:top w:val="single" w:sz="4" w:space="0" w:color="000000"/>
              <w:bottom w:val="single" w:sz="4" w:space="0" w:color="000000"/>
            </w:tcBorders>
            <w:shd w:val="clear" w:color="auto" w:fill="D9D9D9"/>
          </w:tcPr>
          <w:p>
            <w:pPr>
              <w:pStyle w:val="TableParagraph"/>
              <w:spacing w:before="5"/>
              <w:jc w:val="left"/>
              <w:rPr>
                <w:b/>
                <w:sz w:val="21"/>
              </w:rPr>
            </w:pPr>
          </w:p>
          <w:p>
            <w:pPr>
              <w:pStyle w:val="TableParagraph"/>
              <w:spacing w:line="198" w:lineRule="exact" w:before="0"/>
              <w:ind w:right="79"/>
              <w:rPr>
                <w:b/>
                <w:sz w:val="17"/>
              </w:rPr>
            </w:pPr>
            <w:r>
              <w:rPr>
                <w:b/>
                <w:w w:val="105"/>
                <w:sz w:val="17"/>
              </w:rPr>
              <w:t>31/12/2024</w:t>
            </w:r>
          </w:p>
        </w:tc>
        <w:tc>
          <w:tcPr>
            <w:tcW w:w="1038" w:type="dxa"/>
            <w:tcBorders>
              <w:top w:val="single" w:sz="4" w:space="0" w:color="000000"/>
              <w:bottom w:val="single" w:sz="4" w:space="0" w:color="000000"/>
            </w:tcBorders>
            <w:shd w:val="clear" w:color="auto" w:fill="D9D9D9"/>
          </w:tcPr>
          <w:p>
            <w:pPr>
              <w:pStyle w:val="TableParagraph"/>
              <w:spacing w:before="5"/>
              <w:jc w:val="left"/>
              <w:rPr>
                <w:b/>
                <w:sz w:val="21"/>
              </w:rPr>
            </w:pPr>
          </w:p>
          <w:p>
            <w:pPr>
              <w:pStyle w:val="TableParagraph"/>
              <w:spacing w:line="198" w:lineRule="exact" w:before="0"/>
              <w:ind w:right="73"/>
              <w:rPr>
                <w:b/>
                <w:sz w:val="17"/>
              </w:rPr>
            </w:pPr>
            <w:r>
              <w:rPr>
                <w:b/>
                <w:w w:val="105"/>
                <w:sz w:val="17"/>
              </w:rPr>
              <w:t>31/12/2023</w:t>
            </w:r>
          </w:p>
        </w:tc>
      </w:tr>
      <w:tr>
        <w:trPr>
          <w:trHeight w:val="232" w:hRule="atLeast"/>
        </w:trPr>
        <w:tc>
          <w:tcPr>
            <w:tcW w:w="4792" w:type="dxa"/>
            <w:tcBorders>
              <w:top w:val="single" w:sz="4" w:space="0" w:color="000000"/>
            </w:tcBorders>
          </w:tcPr>
          <w:p>
            <w:pPr>
              <w:pStyle w:val="TableParagraph"/>
              <w:spacing w:before="0"/>
              <w:jc w:val="left"/>
              <w:rPr>
                <w:rFonts w:ascii="Times New Roman"/>
                <w:sz w:val="16"/>
              </w:rPr>
            </w:pPr>
          </w:p>
        </w:tc>
        <w:tc>
          <w:tcPr>
            <w:tcW w:w="1735" w:type="dxa"/>
            <w:tcBorders>
              <w:top w:val="single" w:sz="4" w:space="0" w:color="000000"/>
            </w:tcBorders>
          </w:tcPr>
          <w:p>
            <w:pPr>
              <w:pStyle w:val="TableParagraph"/>
              <w:spacing w:before="0"/>
              <w:jc w:val="left"/>
              <w:rPr>
                <w:rFonts w:ascii="Times New Roman"/>
                <w:sz w:val="16"/>
              </w:rPr>
            </w:pPr>
          </w:p>
        </w:tc>
        <w:tc>
          <w:tcPr>
            <w:tcW w:w="1102" w:type="dxa"/>
            <w:tcBorders>
              <w:top w:val="single" w:sz="4" w:space="0" w:color="000000"/>
            </w:tcBorders>
          </w:tcPr>
          <w:p>
            <w:pPr>
              <w:pStyle w:val="TableParagraph"/>
              <w:spacing w:before="0"/>
              <w:jc w:val="left"/>
              <w:rPr>
                <w:rFonts w:ascii="Times New Roman"/>
                <w:sz w:val="16"/>
              </w:rPr>
            </w:pPr>
          </w:p>
        </w:tc>
        <w:tc>
          <w:tcPr>
            <w:tcW w:w="1038" w:type="dxa"/>
            <w:tcBorders>
              <w:top w:val="single" w:sz="4" w:space="0" w:color="000000"/>
            </w:tcBorders>
          </w:tcPr>
          <w:p>
            <w:pPr>
              <w:pStyle w:val="TableParagraph"/>
              <w:spacing w:before="0"/>
              <w:jc w:val="left"/>
              <w:rPr>
                <w:rFonts w:ascii="Times New Roman"/>
                <w:sz w:val="16"/>
              </w:rPr>
            </w:pPr>
          </w:p>
        </w:tc>
      </w:tr>
      <w:tr>
        <w:trPr>
          <w:trHeight w:val="284" w:hRule="atLeast"/>
        </w:trPr>
        <w:tc>
          <w:tcPr>
            <w:tcW w:w="4792" w:type="dxa"/>
            <w:shd w:val="clear" w:color="auto" w:fill="F1F1F1"/>
          </w:tcPr>
          <w:p>
            <w:pPr>
              <w:pStyle w:val="TableParagraph"/>
              <w:spacing w:before="36"/>
              <w:ind w:left="85"/>
              <w:jc w:val="left"/>
              <w:rPr>
                <w:b/>
                <w:sz w:val="17"/>
              </w:rPr>
            </w:pPr>
            <w:r>
              <w:rPr>
                <w:b/>
                <w:w w:val="105"/>
                <w:sz w:val="17"/>
              </w:rPr>
              <w:t>A) PATRIMONIO NETO</w:t>
            </w:r>
          </w:p>
        </w:tc>
        <w:tc>
          <w:tcPr>
            <w:tcW w:w="1735" w:type="dxa"/>
            <w:shd w:val="clear" w:color="auto" w:fill="F1F1F1"/>
          </w:tcPr>
          <w:p>
            <w:pPr>
              <w:pStyle w:val="TableParagraph"/>
              <w:spacing w:before="0"/>
              <w:jc w:val="left"/>
              <w:rPr>
                <w:rFonts w:ascii="Times New Roman"/>
                <w:sz w:val="16"/>
              </w:rPr>
            </w:pPr>
          </w:p>
        </w:tc>
        <w:tc>
          <w:tcPr>
            <w:tcW w:w="1102" w:type="dxa"/>
            <w:shd w:val="clear" w:color="auto" w:fill="F1F1F1"/>
          </w:tcPr>
          <w:p>
            <w:pPr>
              <w:pStyle w:val="TableParagraph"/>
              <w:spacing w:before="36"/>
              <w:ind w:right="71"/>
              <w:rPr>
                <w:b/>
                <w:sz w:val="17"/>
              </w:rPr>
            </w:pPr>
            <w:r>
              <w:rPr>
                <w:b/>
                <w:w w:val="105"/>
                <w:sz w:val="17"/>
              </w:rPr>
              <w:t>23.734,89</w:t>
            </w:r>
          </w:p>
        </w:tc>
        <w:tc>
          <w:tcPr>
            <w:tcW w:w="1038" w:type="dxa"/>
            <w:shd w:val="clear" w:color="auto" w:fill="F1F1F1"/>
          </w:tcPr>
          <w:p>
            <w:pPr>
              <w:pStyle w:val="TableParagraph"/>
              <w:spacing w:before="36"/>
              <w:ind w:right="66"/>
              <w:rPr>
                <w:b/>
                <w:sz w:val="17"/>
              </w:rPr>
            </w:pPr>
            <w:r>
              <w:rPr>
                <w:b/>
                <w:w w:val="105"/>
                <w:sz w:val="17"/>
              </w:rPr>
              <w:t>28.616,72</w:t>
            </w:r>
          </w:p>
        </w:tc>
      </w:tr>
      <w:tr>
        <w:trPr>
          <w:trHeight w:val="299" w:hRule="atLeast"/>
        </w:trPr>
        <w:tc>
          <w:tcPr>
            <w:tcW w:w="4792" w:type="dxa"/>
          </w:tcPr>
          <w:p>
            <w:pPr>
              <w:pStyle w:val="TableParagraph"/>
              <w:spacing w:before="36"/>
              <w:ind w:left="85"/>
              <w:jc w:val="left"/>
              <w:rPr>
                <w:b/>
                <w:sz w:val="17"/>
              </w:rPr>
            </w:pPr>
            <w:r>
              <w:rPr>
                <w:b/>
                <w:w w:val="105"/>
                <w:sz w:val="17"/>
              </w:rPr>
              <w:t>A1. Fondos propios</w:t>
            </w:r>
          </w:p>
        </w:tc>
        <w:tc>
          <w:tcPr>
            <w:tcW w:w="1735" w:type="dxa"/>
          </w:tcPr>
          <w:p>
            <w:pPr>
              <w:pStyle w:val="TableParagraph"/>
              <w:spacing w:before="0"/>
              <w:jc w:val="left"/>
              <w:rPr>
                <w:rFonts w:ascii="Times New Roman"/>
                <w:sz w:val="16"/>
              </w:rPr>
            </w:pPr>
          </w:p>
        </w:tc>
        <w:tc>
          <w:tcPr>
            <w:tcW w:w="1102" w:type="dxa"/>
          </w:tcPr>
          <w:p>
            <w:pPr>
              <w:pStyle w:val="TableParagraph"/>
              <w:spacing w:before="36"/>
              <w:ind w:right="71"/>
              <w:rPr>
                <w:b/>
                <w:sz w:val="17"/>
              </w:rPr>
            </w:pPr>
            <w:r>
              <w:rPr>
                <w:b/>
                <w:w w:val="105"/>
                <w:sz w:val="17"/>
              </w:rPr>
              <w:t>(10.468,27)</w:t>
            </w:r>
          </w:p>
        </w:tc>
        <w:tc>
          <w:tcPr>
            <w:tcW w:w="1038" w:type="dxa"/>
          </w:tcPr>
          <w:p>
            <w:pPr>
              <w:pStyle w:val="TableParagraph"/>
              <w:spacing w:before="36"/>
              <w:ind w:right="66"/>
              <w:rPr>
                <w:b/>
                <w:sz w:val="17"/>
              </w:rPr>
            </w:pPr>
            <w:r>
              <w:rPr>
                <w:b/>
                <w:w w:val="105"/>
                <w:sz w:val="17"/>
              </w:rPr>
              <w:t>19.169,08</w:t>
            </w:r>
          </w:p>
        </w:tc>
      </w:tr>
      <w:tr>
        <w:trPr>
          <w:trHeight w:val="280" w:hRule="atLeast"/>
        </w:trPr>
        <w:tc>
          <w:tcPr>
            <w:tcW w:w="4792" w:type="dxa"/>
          </w:tcPr>
          <w:p>
            <w:pPr>
              <w:pStyle w:val="TableParagraph"/>
              <w:spacing w:before="13"/>
              <w:ind w:left="85"/>
              <w:jc w:val="left"/>
              <w:rPr>
                <w:b/>
                <w:sz w:val="17"/>
              </w:rPr>
            </w:pPr>
            <w:r>
              <w:rPr>
                <w:b/>
                <w:w w:val="105"/>
                <w:sz w:val="17"/>
              </w:rPr>
              <w:t>Capital</w:t>
            </w:r>
          </w:p>
        </w:tc>
        <w:tc>
          <w:tcPr>
            <w:tcW w:w="1735" w:type="dxa"/>
          </w:tcPr>
          <w:p>
            <w:pPr>
              <w:pStyle w:val="TableParagraph"/>
              <w:spacing w:before="13"/>
              <w:ind w:left="795"/>
              <w:jc w:val="center"/>
              <w:rPr>
                <w:b/>
                <w:sz w:val="17"/>
              </w:rPr>
            </w:pPr>
            <w:r>
              <w:rPr>
                <w:b/>
                <w:w w:val="104"/>
                <w:sz w:val="17"/>
              </w:rPr>
              <w:t>7</w:t>
            </w:r>
          </w:p>
        </w:tc>
        <w:tc>
          <w:tcPr>
            <w:tcW w:w="1102" w:type="dxa"/>
          </w:tcPr>
          <w:p>
            <w:pPr>
              <w:pStyle w:val="TableParagraph"/>
              <w:spacing w:before="13"/>
              <w:ind w:right="78"/>
              <w:rPr>
                <w:b/>
                <w:sz w:val="17"/>
              </w:rPr>
            </w:pPr>
            <w:r>
              <w:rPr>
                <w:b/>
                <w:w w:val="105"/>
                <w:sz w:val="17"/>
              </w:rPr>
              <w:t>3.005,06</w:t>
            </w:r>
          </w:p>
        </w:tc>
        <w:tc>
          <w:tcPr>
            <w:tcW w:w="1038" w:type="dxa"/>
          </w:tcPr>
          <w:p>
            <w:pPr>
              <w:pStyle w:val="TableParagraph"/>
              <w:spacing w:before="13"/>
              <w:ind w:right="73"/>
              <w:rPr>
                <w:b/>
                <w:sz w:val="17"/>
              </w:rPr>
            </w:pPr>
            <w:r>
              <w:rPr>
                <w:b/>
                <w:w w:val="105"/>
                <w:sz w:val="17"/>
              </w:rPr>
              <w:t>3.005,06</w:t>
            </w:r>
          </w:p>
        </w:tc>
      </w:tr>
      <w:tr>
        <w:trPr>
          <w:trHeight w:val="283" w:hRule="atLeast"/>
        </w:trPr>
        <w:tc>
          <w:tcPr>
            <w:tcW w:w="4792" w:type="dxa"/>
          </w:tcPr>
          <w:p>
            <w:pPr>
              <w:pStyle w:val="TableParagraph"/>
              <w:spacing w:before="16"/>
              <w:ind w:left="85"/>
              <w:jc w:val="left"/>
              <w:rPr>
                <w:sz w:val="17"/>
              </w:rPr>
            </w:pPr>
            <w:r>
              <w:rPr>
                <w:w w:val="105"/>
                <w:sz w:val="17"/>
              </w:rPr>
              <w:t>Capital escriturado</w:t>
            </w:r>
          </w:p>
        </w:tc>
        <w:tc>
          <w:tcPr>
            <w:tcW w:w="1735" w:type="dxa"/>
          </w:tcPr>
          <w:p>
            <w:pPr>
              <w:pStyle w:val="TableParagraph"/>
              <w:spacing w:before="0"/>
              <w:jc w:val="left"/>
              <w:rPr>
                <w:rFonts w:ascii="Times New Roman"/>
                <w:sz w:val="16"/>
              </w:rPr>
            </w:pPr>
          </w:p>
        </w:tc>
        <w:tc>
          <w:tcPr>
            <w:tcW w:w="1102" w:type="dxa"/>
          </w:tcPr>
          <w:p>
            <w:pPr>
              <w:pStyle w:val="TableParagraph"/>
              <w:spacing w:before="16"/>
              <w:ind w:right="78"/>
              <w:rPr>
                <w:sz w:val="17"/>
              </w:rPr>
            </w:pPr>
            <w:r>
              <w:rPr>
                <w:w w:val="105"/>
                <w:sz w:val="17"/>
              </w:rPr>
              <w:t>3.005,06</w:t>
            </w:r>
          </w:p>
        </w:tc>
        <w:tc>
          <w:tcPr>
            <w:tcW w:w="1038" w:type="dxa"/>
          </w:tcPr>
          <w:p>
            <w:pPr>
              <w:pStyle w:val="TableParagraph"/>
              <w:spacing w:before="16"/>
              <w:ind w:right="73"/>
              <w:rPr>
                <w:sz w:val="17"/>
              </w:rPr>
            </w:pPr>
            <w:r>
              <w:rPr>
                <w:w w:val="105"/>
                <w:sz w:val="17"/>
              </w:rPr>
              <w:t>3.005,06</w:t>
            </w:r>
          </w:p>
        </w:tc>
      </w:tr>
      <w:tr>
        <w:trPr>
          <w:trHeight w:val="284" w:hRule="atLeast"/>
        </w:trPr>
        <w:tc>
          <w:tcPr>
            <w:tcW w:w="4792" w:type="dxa"/>
          </w:tcPr>
          <w:p>
            <w:pPr>
              <w:pStyle w:val="TableParagraph"/>
              <w:spacing w:before="16"/>
              <w:ind w:left="85"/>
              <w:jc w:val="left"/>
              <w:rPr>
                <w:b/>
                <w:sz w:val="17"/>
              </w:rPr>
            </w:pPr>
            <w:r>
              <w:rPr>
                <w:b/>
                <w:w w:val="105"/>
                <w:sz w:val="17"/>
              </w:rPr>
              <w:t>Reservas</w:t>
            </w:r>
          </w:p>
        </w:tc>
        <w:tc>
          <w:tcPr>
            <w:tcW w:w="1735" w:type="dxa"/>
          </w:tcPr>
          <w:p>
            <w:pPr>
              <w:pStyle w:val="TableParagraph"/>
              <w:spacing w:before="16"/>
              <w:ind w:left="795"/>
              <w:jc w:val="center"/>
              <w:rPr>
                <w:b/>
                <w:sz w:val="17"/>
              </w:rPr>
            </w:pPr>
            <w:r>
              <w:rPr>
                <w:b/>
                <w:w w:val="104"/>
                <w:sz w:val="17"/>
              </w:rPr>
              <w:t>7</w:t>
            </w:r>
          </w:p>
        </w:tc>
        <w:tc>
          <w:tcPr>
            <w:tcW w:w="1102" w:type="dxa"/>
          </w:tcPr>
          <w:p>
            <w:pPr>
              <w:pStyle w:val="TableParagraph"/>
              <w:spacing w:before="16"/>
              <w:ind w:right="71"/>
              <w:rPr>
                <w:b/>
                <w:sz w:val="17"/>
              </w:rPr>
            </w:pPr>
            <w:r>
              <w:rPr>
                <w:b/>
                <w:w w:val="105"/>
                <w:sz w:val="17"/>
              </w:rPr>
              <w:t>38.400,45</w:t>
            </w:r>
          </w:p>
        </w:tc>
        <w:tc>
          <w:tcPr>
            <w:tcW w:w="1038" w:type="dxa"/>
          </w:tcPr>
          <w:p>
            <w:pPr>
              <w:pStyle w:val="TableParagraph"/>
              <w:spacing w:before="16"/>
              <w:ind w:right="66"/>
              <w:rPr>
                <w:b/>
                <w:sz w:val="17"/>
              </w:rPr>
            </w:pPr>
            <w:r>
              <w:rPr>
                <w:b/>
                <w:w w:val="105"/>
                <w:sz w:val="17"/>
              </w:rPr>
              <w:t>38.400,45</w:t>
            </w:r>
          </w:p>
        </w:tc>
      </w:tr>
      <w:tr>
        <w:trPr>
          <w:trHeight w:val="283" w:hRule="atLeast"/>
        </w:trPr>
        <w:tc>
          <w:tcPr>
            <w:tcW w:w="4792" w:type="dxa"/>
          </w:tcPr>
          <w:p>
            <w:pPr>
              <w:pStyle w:val="TableParagraph"/>
              <w:spacing w:before="17"/>
              <w:ind w:left="85"/>
              <w:jc w:val="left"/>
              <w:rPr>
                <w:b/>
                <w:sz w:val="17"/>
              </w:rPr>
            </w:pPr>
            <w:r>
              <w:rPr>
                <w:b/>
                <w:w w:val="105"/>
                <w:sz w:val="17"/>
              </w:rPr>
              <w:t>Resultados de ejercicios anteriores</w:t>
            </w:r>
          </w:p>
        </w:tc>
        <w:tc>
          <w:tcPr>
            <w:tcW w:w="1735" w:type="dxa"/>
          </w:tcPr>
          <w:p>
            <w:pPr>
              <w:pStyle w:val="TableParagraph"/>
              <w:spacing w:before="0"/>
              <w:jc w:val="left"/>
              <w:rPr>
                <w:rFonts w:ascii="Times New Roman"/>
                <w:sz w:val="16"/>
              </w:rPr>
            </w:pPr>
          </w:p>
        </w:tc>
        <w:tc>
          <w:tcPr>
            <w:tcW w:w="1102" w:type="dxa"/>
          </w:tcPr>
          <w:p>
            <w:pPr>
              <w:pStyle w:val="TableParagraph"/>
              <w:spacing w:before="17"/>
              <w:ind w:right="71"/>
              <w:rPr>
                <w:b/>
                <w:sz w:val="17"/>
              </w:rPr>
            </w:pPr>
            <w:r>
              <w:rPr>
                <w:b/>
                <w:w w:val="105"/>
                <w:sz w:val="17"/>
              </w:rPr>
              <w:t>(22.236,43)</w:t>
            </w:r>
          </w:p>
        </w:tc>
        <w:tc>
          <w:tcPr>
            <w:tcW w:w="1038" w:type="dxa"/>
          </w:tcPr>
          <w:p>
            <w:pPr>
              <w:pStyle w:val="TableParagraph"/>
              <w:spacing w:before="17"/>
              <w:ind w:right="65"/>
              <w:rPr>
                <w:b/>
                <w:sz w:val="17"/>
              </w:rPr>
            </w:pPr>
            <w:r>
              <w:rPr>
                <w:b/>
                <w:w w:val="105"/>
                <w:sz w:val="17"/>
              </w:rPr>
              <w:t>(31.557,78)</w:t>
            </w:r>
          </w:p>
        </w:tc>
      </w:tr>
      <w:tr>
        <w:trPr>
          <w:trHeight w:val="283" w:hRule="atLeast"/>
        </w:trPr>
        <w:tc>
          <w:tcPr>
            <w:tcW w:w="4792" w:type="dxa"/>
          </w:tcPr>
          <w:p>
            <w:pPr>
              <w:pStyle w:val="TableParagraph"/>
              <w:spacing w:before="16"/>
              <w:ind w:left="85"/>
              <w:jc w:val="left"/>
              <w:rPr>
                <w:b/>
                <w:sz w:val="17"/>
              </w:rPr>
            </w:pPr>
            <w:r>
              <w:rPr>
                <w:b/>
                <w:w w:val="105"/>
                <w:sz w:val="17"/>
              </w:rPr>
              <w:t>Resultado del ejercicio</w:t>
            </w:r>
          </w:p>
        </w:tc>
        <w:tc>
          <w:tcPr>
            <w:tcW w:w="1735" w:type="dxa"/>
          </w:tcPr>
          <w:p>
            <w:pPr>
              <w:pStyle w:val="TableParagraph"/>
              <w:spacing w:before="16"/>
              <w:ind w:left="952" w:right="159"/>
              <w:jc w:val="center"/>
              <w:rPr>
                <w:b/>
                <w:sz w:val="17"/>
              </w:rPr>
            </w:pPr>
            <w:r>
              <w:rPr>
                <w:b/>
                <w:w w:val="105"/>
                <w:sz w:val="17"/>
              </w:rPr>
              <w:t>10.F</w:t>
            </w:r>
          </w:p>
        </w:tc>
        <w:tc>
          <w:tcPr>
            <w:tcW w:w="1102" w:type="dxa"/>
          </w:tcPr>
          <w:p>
            <w:pPr>
              <w:pStyle w:val="TableParagraph"/>
              <w:spacing w:before="16"/>
              <w:ind w:right="71"/>
              <w:rPr>
                <w:b/>
                <w:sz w:val="17"/>
              </w:rPr>
            </w:pPr>
            <w:r>
              <w:rPr>
                <w:b/>
                <w:w w:val="105"/>
                <w:sz w:val="17"/>
              </w:rPr>
              <w:t>(29.637,35)</w:t>
            </w:r>
          </w:p>
        </w:tc>
        <w:tc>
          <w:tcPr>
            <w:tcW w:w="1038" w:type="dxa"/>
          </w:tcPr>
          <w:p>
            <w:pPr>
              <w:pStyle w:val="TableParagraph"/>
              <w:spacing w:before="16"/>
              <w:ind w:right="73"/>
              <w:rPr>
                <w:b/>
                <w:sz w:val="17"/>
              </w:rPr>
            </w:pPr>
            <w:r>
              <w:rPr>
                <w:b/>
                <w:w w:val="105"/>
                <w:sz w:val="17"/>
              </w:rPr>
              <w:t>9.321,35</w:t>
            </w:r>
          </w:p>
        </w:tc>
      </w:tr>
      <w:tr>
        <w:trPr>
          <w:trHeight w:val="498" w:hRule="atLeast"/>
        </w:trPr>
        <w:tc>
          <w:tcPr>
            <w:tcW w:w="4792" w:type="dxa"/>
          </w:tcPr>
          <w:p>
            <w:pPr>
              <w:pStyle w:val="TableParagraph"/>
              <w:spacing w:before="16"/>
              <w:ind w:left="85"/>
              <w:jc w:val="left"/>
              <w:rPr>
                <w:b/>
                <w:sz w:val="17"/>
              </w:rPr>
            </w:pPr>
            <w:r>
              <w:rPr>
                <w:b/>
                <w:w w:val="105"/>
                <w:sz w:val="17"/>
              </w:rPr>
              <w:t>A2. Subvenciones, donaciones y legados recibidos</w:t>
            </w:r>
          </w:p>
        </w:tc>
        <w:tc>
          <w:tcPr>
            <w:tcW w:w="1735" w:type="dxa"/>
          </w:tcPr>
          <w:p>
            <w:pPr>
              <w:pStyle w:val="TableParagraph"/>
              <w:spacing w:before="16"/>
              <w:ind w:left="964" w:right="159"/>
              <w:jc w:val="center"/>
              <w:rPr>
                <w:b/>
                <w:sz w:val="17"/>
              </w:rPr>
            </w:pPr>
            <w:r>
              <w:rPr>
                <w:b/>
                <w:w w:val="105"/>
                <w:sz w:val="17"/>
              </w:rPr>
              <w:t>9 y 10.E</w:t>
            </w:r>
          </w:p>
        </w:tc>
        <w:tc>
          <w:tcPr>
            <w:tcW w:w="1102" w:type="dxa"/>
          </w:tcPr>
          <w:p>
            <w:pPr>
              <w:pStyle w:val="TableParagraph"/>
              <w:spacing w:before="16"/>
              <w:ind w:right="71"/>
              <w:rPr>
                <w:b/>
                <w:sz w:val="17"/>
              </w:rPr>
            </w:pPr>
            <w:r>
              <w:rPr>
                <w:b/>
                <w:w w:val="105"/>
                <w:sz w:val="17"/>
              </w:rPr>
              <w:t>34.203,16</w:t>
            </w:r>
          </w:p>
        </w:tc>
        <w:tc>
          <w:tcPr>
            <w:tcW w:w="1038" w:type="dxa"/>
          </w:tcPr>
          <w:p>
            <w:pPr>
              <w:pStyle w:val="TableParagraph"/>
              <w:spacing w:before="16"/>
              <w:ind w:right="73"/>
              <w:rPr>
                <w:b/>
                <w:sz w:val="17"/>
              </w:rPr>
            </w:pPr>
            <w:r>
              <w:rPr>
                <w:b/>
                <w:w w:val="105"/>
                <w:sz w:val="17"/>
              </w:rPr>
              <w:t>9.447,64</w:t>
            </w:r>
          </w:p>
        </w:tc>
      </w:tr>
      <w:tr>
        <w:trPr>
          <w:trHeight w:val="284" w:hRule="atLeast"/>
        </w:trPr>
        <w:tc>
          <w:tcPr>
            <w:tcW w:w="4792" w:type="dxa"/>
            <w:shd w:val="clear" w:color="auto" w:fill="F1F1F1"/>
          </w:tcPr>
          <w:p>
            <w:pPr>
              <w:pStyle w:val="TableParagraph"/>
              <w:spacing w:before="29"/>
              <w:ind w:left="85"/>
              <w:jc w:val="left"/>
              <w:rPr>
                <w:b/>
                <w:sz w:val="17"/>
              </w:rPr>
            </w:pPr>
            <w:r>
              <w:rPr>
                <w:b/>
                <w:w w:val="105"/>
                <w:sz w:val="17"/>
              </w:rPr>
              <w:t>B) PASIVO NO CORRIENTE</w:t>
            </w:r>
          </w:p>
        </w:tc>
        <w:tc>
          <w:tcPr>
            <w:tcW w:w="1735" w:type="dxa"/>
            <w:shd w:val="clear" w:color="auto" w:fill="F1F1F1"/>
          </w:tcPr>
          <w:p>
            <w:pPr>
              <w:pStyle w:val="TableParagraph"/>
              <w:spacing w:before="0"/>
              <w:jc w:val="left"/>
              <w:rPr>
                <w:rFonts w:ascii="Times New Roman"/>
                <w:sz w:val="16"/>
              </w:rPr>
            </w:pPr>
          </w:p>
        </w:tc>
        <w:tc>
          <w:tcPr>
            <w:tcW w:w="1102" w:type="dxa"/>
            <w:shd w:val="clear" w:color="auto" w:fill="F1F1F1"/>
          </w:tcPr>
          <w:p>
            <w:pPr>
              <w:pStyle w:val="TableParagraph"/>
              <w:spacing w:before="29"/>
              <w:ind w:right="71"/>
              <w:rPr>
                <w:b/>
                <w:sz w:val="17"/>
              </w:rPr>
            </w:pPr>
            <w:r>
              <w:rPr>
                <w:b/>
                <w:w w:val="105"/>
                <w:sz w:val="17"/>
              </w:rPr>
              <w:t>12.891,31</w:t>
            </w:r>
          </w:p>
        </w:tc>
        <w:tc>
          <w:tcPr>
            <w:tcW w:w="1038" w:type="dxa"/>
            <w:shd w:val="clear" w:color="auto" w:fill="F1F1F1"/>
          </w:tcPr>
          <w:p>
            <w:pPr>
              <w:pStyle w:val="TableParagraph"/>
              <w:spacing w:before="29"/>
              <w:ind w:right="73"/>
              <w:rPr>
                <w:b/>
                <w:sz w:val="17"/>
              </w:rPr>
            </w:pPr>
            <w:r>
              <w:rPr>
                <w:b/>
                <w:w w:val="105"/>
                <w:sz w:val="17"/>
              </w:rPr>
              <w:t>4.639,47</w:t>
            </w:r>
          </w:p>
        </w:tc>
      </w:tr>
      <w:tr>
        <w:trPr>
          <w:trHeight w:val="503" w:hRule="atLeast"/>
        </w:trPr>
        <w:tc>
          <w:tcPr>
            <w:tcW w:w="4792" w:type="dxa"/>
          </w:tcPr>
          <w:p>
            <w:pPr>
              <w:pStyle w:val="TableParagraph"/>
              <w:spacing w:before="29"/>
              <w:ind w:left="85"/>
              <w:jc w:val="left"/>
              <w:rPr>
                <w:b/>
                <w:sz w:val="17"/>
              </w:rPr>
            </w:pPr>
            <w:r>
              <w:rPr>
                <w:b/>
                <w:w w:val="105"/>
                <w:sz w:val="17"/>
              </w:rPr>
              <w:t>Pasivos por impuesto diferido</w:t>
            </w:r>
          </w:p>
        </w:tc>
        <w:tc>
          <w:tcPr>
            <w:tcW w:w="1735" w:type="dxa"/>
          </w:tcPr>
          <w:p>
            <w:pPr>
              <w:pStyle w:val="TableParagraph"/>
              <w:spacing w:before="29"/>
              <w:ind w:left="795"/>
              <w:jc w:val="center"/>
              <w:rPr>
                <w:b/>
                <w:sz w:val="17"/>
              </w:rPr>
            </w:pPr>
            <w:r>
              <w:rPr>
                <w:b/>
                <w:w w:val="104"/>
                <w:sz w:val="17"/>
              </w:rPr>
              <w:t>8</w:t>
            </w:r>
          </w:p>
        </w:tc>
        <w:tc>
          <w:tcPr>
            <w:tcW w:w="1102" w:type="dxa"/>
          </w:tcPr>
          <w:p>
            <w:pPr>
              <w:pStyle w:val="TableParagraph"/>
              <w:spacing w:before="29"/>
              <w:ind w:right="71"/>
              <w:rPr>
                <w:b/>
                <w:sz w:val="17"/>
              </w:rPr>
            </w:pPr>
            <w:r>
              <w:rPr>
                <w:b/>
                <w:w w:val="105"/>
                <w:sz w:val="17"/>
              </w:rPr>
              <w:t>12.891,31</w:t>
            </w:r>
          </w:p>
        </w:tc>
        <w:tc>
          <w:tcPr>
            <w:tcW w:w="1038" w:type="dxa"/>
          </w:tcPr>
          <w:p>
            <w:pPr>
              <w:pStyle w:val="TableParagraph"/>
              <w:spacing w:before="29"/>
              <w:ind w:right="73"/>
              <w:rPr>
                <w:b/>
                <w:sz w:val="17"/>
              </w:rPr>
            </w:pPr>
            <w:r>
              <w:rPr>
                <w:b/>
                <w:w w:val="105"/>
                <w:sz w:val="17"/>
              </w:rPr>
              <w:t>4.639,47</w:t>
            </w:r>
          </w:p>
        </w:tc>
      </w:tr>
      <w:tr>
        <w:trPr>
          <w:trHeight w:val="276" w:hRule="atLeast"/>
        </w:trPr>
        <w:tc>
          <w:tcPr>
            <w:tcW w:w="4792" w:type="dxa"/>
            <w:shd w:val="clear" w:color="auto" w:fill="F1F1F1"/>
          </w:tcPr>
          <w:p>
            <w:pPr>
              <w:pStyle w:val="TableParagraph"/>
              <w:spacing w:before="29"/>
              <w:ind w:left="85"/>
              <w:jc w:val="left"/>
              <w:rPr>
                <w:b/>
                <w:sz w:val="17"/>
              </w:rPr>
            </w:pPr>
            <w:r>
              <w:rPr>
                <w:b/>
                <w:w w:val="105"/>
                <w:sz w:val="17"/>
              </w:rPr>
              <w:t>C) PASIVO CORRIENTE</w:t>
            </w:r>
          </w:p>
        </w:tc>
        <w:tc>
          <w:tcPr>
            <w:tcW w:w="1735" w:type="dxa"/>
            <w:shd w:val="clear" w:color="auto" w:fill="F1F1F1"/>
          </w:tcPr>
          <w:p>
            <w:pPr>
              <w:pStyle w:val="TableParagraph"/>
              <w:spacing w:before="0"/>
              <w:jc w:val="left"/>
              <w:rPr>
                <w:rFonts w:ascii="Times New Roman"/>
                <w:sz w:val="16"/>
              </w:rPr>
            </w:pPr>
          </w:p>
        </w:tc>
        <w:tc>
          <w:tcPr>
            <w:tcW w:w="1102" w:type="dxa"/>
            <w:shd w:val="clear" w:color="auto" w:fill="F1F1F1"/>
          </w:tcPr>
          <w:p>
            <w:pPr>
              <w:pStyle w:val="TableParagraph"/>
              <w:spacing w:before="29"/>
              <w:ind w:right="71"/>
              <w:rPr>
                <w:b/>
                <w:sz w:val="17"/>
              </w:rPr>
            </w:pPr>
            <w:r>
              <w:rPr>
                <w:b/>
                <w:w w:val="105"/>
                <w:sz w:val="17"/>
              </w:rPr>
              <w:t>43.735,75</w:t>
            </w:r>
          </w:p>
        </w:tc>
        <w:tc>
          <w:tcPr>
            <w:tcW w:w="1038" w:type="dxa"/>
            <w:shd w:val="clear" w:color="auto" w:fill="F1F1F1"/>
          </w:tcPr>
          <w:p>
            <w:pPr>
              <w:pStyle w:val="TableParagraph"/>
              <w:spacing w:before="29"/>
              <w:ind w:right="66"/>
              <w:rPr>
                <w:b/>
                <w:sz w:val="17"/>
              </w:rPr>
            </w:pPr>
            <w:r>
              <w:rPr>
                <w:b/>
                <w:w w:val="105"/>
                <w:sz w:val="17"/>
              </w:rPr>
              <w:t>13.747,53</w:t>
            </w:r>
          </w:p>
        </w:tc>
      </w:tr>
      <w:tr>
        <w:trPr>
          <w:trHeight w:val="303" w:hRule="atLeast"/>
        </w:trPr>
        <w:tc>
          <w:tcPr>
            <w:tcW w:w="4792" w:type="dxa"/>
          </w:tcPr>
          <w:p>
            <w:pPr>
              <w:pStyle w:val="TableParagraph"/>
              <w:spacing w:before="36"/>
              <w:ind w:left="85"/>
              <w:jc w:val="left"/>
              <w:rPr>
                <w:b/>
                <w:sz w:val="17"/>
              </w:rPr>
            </w:pPr>
            <w:r>
              <w:rPr>
                <w:b/>
                <w:w w:val="105"/>
                <w:sz w:val="17"/>
              </w:rPr>
              <w:t>Deudas a corto plazo</w:t>
            </w:r>
          </w:p>
        </w:tc>
        <w:tc>
          <w:tcPr>
            <w:tcW w:w="1735" w:type="dxa"/>
          </w:tcPr>
          <w:p>
            <w:pPr>
              <w:pStyle w:val="TableParagraph"/>
              <w:spacing w:before="36"/>
              <w:ind w:left="795"/>
              <w:jc w:val="center"/>
              <w:rPr>
                <w:b/>
                <w:sz w:val="17"/>
              </w:rPr>
            </w:pPr>
            <w:r>
              <w:rPr>
                <w:b/>
                <w:w w:val="104"/>
                <w:sz w:val="17"/>
              </w:rPr>
              <w:t>6</w:t>
            </w:r>
          </w:p>
        </w:tc>
        <w:tc>
          <w:tcPr>
            <w:tcW w:w="1102" w:type="dxa"/>
          </w:tcPr>
          <w:p>
            <w:pPr>
              <w:pStyle w:val="TableParagraph"/>
              <w:spacing w:before="36"/>
              <w:ind w:right="71"/>
              <w:rPr>
                <w:b/>
                <w:sz w:val="17"/>
              </w:rPr>
            </w:pPr>
            <w:r>
              <w:rPr>
                <w:b/>
                <w:w w:val="105"/>
                <w:sz w:val="17"/>
              </w:rPr>
              <w:t>28.736,78</w:t>
            </w:r>
          </w:p>
        </w:tc>
        <w:tc>
          <w:tcPr>
            <w:tcW w:w="1038" w:type="dxa"/>
          </w:tcPr>
          <w:p>
            <w:pPr>
              <w:pStyle w:val="TableParagraph"/>
              <w:spacing w:before="36"/>
              <w:ind w:right="71"/>
              <w:rPr>
                <w:b/>
                <w:sz w:val="17"/>
              </w:rPr>
            </w:pPr>
            <w:r>
              <w:rPr>
                <w:b/>
                <w:w w:val="104"/>
                <w:sz w:val="17"/>
              </w:rPr>
              <w:t>-</w:t>
            </w:r>
          </w:p>
        </w:tc>
      </w:tr>
      <w:tr>
        <w:trPr>
          <w:trHeight w:val="283" w:hRule="atLeast"/>
        </w:trPr>
        <w:tc>
          <w:tcPr>
            <w:tcW w:w="4792" w:type="dxa"/>
          </w:tcPr>
          <w:p>
            <w:pPr>
              <w:pStyle w:val="TableParagraph"/>
              <w:spacing w:before="16"/>
              <w:ind w:left="85"/>
              <w:jc w:val="left"/>
              <w:rPr>
                <w:sz w:val="17"/>
              </w:rPr>
            </w:pPr>
            <w:r>
              <w:rPr>
                <w:w w:val="105"/>
                <w:sz w:val="17"/>
              </w:rPr>
              <w:t>Otros pasivos financieros</w:t>
            </w:r>
          </w:p>
        </w:tc>
        <w:tc>
          <w:tcPr>
            <w:tcW w:w="1735" w:type="dxa"/>
          </w:tcPr>
          <w:p>
            <w:pPr>
              <w:pStyle w:val="TableParagraph"/>
              <w:spacing w:before="0"/>
              <w:jc w:val="left"/>
              <w:rPr>
                <w:rFonts w:ascii="Times New Roman"/>
                <w:sz w:val="16"/>
              </w:rPr>
            </w:pPr>
          </w:p>
        </w:tc>
        <w:tc>
          <w:tcPr>
            <w:tcW w:w="1102" w:type="dxa"/>
          </w:tcPr>
          <w:p>
            <w:pPr>
              <w:pStyle w:val="TableParagraph"/>
              <w:spacing w:before="16"/>
              <w:ind w:right="78"/>
              <w:rPr>
                <w:sz w:val="17"/>
              </w:rPr>
            </w:pPr>
            <w:r>
              <w:rPr>
                <w:w w:val="105"/>
                <w:sz w:val="17"/>
              </w:rPr>
              <w:t>28.736,78</w:t>
            </w:r>
          </w:p>
        </w:tc>
        <w:tc>
          <w:tcPr>
            <w:tcW w:w="1038" w:type="dxa"/>
          </w:tcPr>
          <w:p>
            <w:pPr>
              <w:pStyle w:val="TableParagraph"/>
              <w:spacing w:before="16"/>
              <w:ind w:right="71"/>
              <w:rPr>
                <w:sz w:val="17"/>
              </w:rPr>
            </w:pPr>
            <w:r>
              <w:rPr>
                <w:w w:val="104"/>
                <w:sz w:val="17"/>
              </w:rPr>
              <w:t>-</w:t>
            </w:r>
          </w:p>
        </w:tc>
      </w:tr>
      <w:tr>
        <w:trPr>
          <w:trHeight w:val="283" w:hRule="atLeast"/>
        </w:trPr>
        <w:tc>
          <w:tcPr>
            <w:tcW w:w="4792" w:type="dxa"/>
          </w:tcPr>
          <w:p>
            <w:pPr>
              <w:pStyle w:val="TableParagraph"/>
              <w:spacing w:before="16"/>
              <w:ind w:left="85"/>
              <w:jc w:val="left"/>
              <w:rPr>
                <w:b/>
                <w:sz w:val="17"/>
              </w:rPr>
            </w:pPr>
            <w:r>
              <w:rPr>
                <w:b/>
                <w:w w:val="105"/>
                <w:sz w:val="17"/>
              </w:rPr>
              <w:t>Acreedores comerciales y otras cuentas a pagar</w:t>
            </w:r>
          </w:p>
        </w:tc>
        <w:tc>
          <w:tcPr>
            <w:tcW w:w="1735" w:type="dxa"/>
          </w:tcPr>
          <w:p>
            <w:pPr>
              <w:pStyle w:val="TableParagraph"/>
              <w:spacing w:before="16"/>
              <w:ind w:left="959" w:right="159"/>
              <w:jc w:val="center"/>
              <w:rPr>
                <w:b/>
                <w:sz w:val="17"/>
              </w:rPr>
            </w:pPr>
            <w:r>
              <w:rPr>
                <w:b/>
                <w:w w:val="105"/>
                <w:sz w:val="17"/>
              </w:rPr>
              <w:t>6 y 8</w:t>
            </w:r>
          </w:p>
        </w:tc>
        <w:tc>
          <w:tcPr>
            <w:tcW w:w="1102" w:type="dxa"/>
          </w:tcPr>
          <w:p>
            <w:pPr>
              <w:pStyle w:val="TableParagraph"/>
              <w:spacing w:before="16"/>
              <w:ind w:right="71"/>
              <w:rPr>
                <w:b/>
                <w:sz w:val="17"/>
              </w:rPr>
            </w:pPr>
            <w:r>
              <w:rPr>
                <w:b/>
                <w:w w:val="105"/>
                <w:sz w:val="17"/>
              </w:rPr>
              <w:t>14.998,97</w:t>
            </w:r>
          </w:p>
        </w:tc>
        <w:tc>
          <w:tcPr>
            <w:tcW w:w="1038" w:type="dxa"/>
          </w:tcPr>
          <w:p>
            <w:pPr>
              <w:pStyle w:val="TableParagraph"/>
              <w:spacing w:before="16"/>
              <w:ind w:right="66"/>
              <w:rPr>
                <w:b/>
                <w:sz w:val="17"/>
              </w:rPr>
            </w:pPr>
            <w:r>
              <w:rPr>
                <w:b/>
                <w:w w:val="105"/>
                <w:sz w:val="17"/>
              </w:rPr>
              <w:t>13.747,53</w:t>
            </w:r>
          </w:p>
        </w:tc>
      </w:tr>
      <w:tr>
        <w:trPr>
          <w:trHeight w:val="280" w:hRule="atLeast"/>
        </w:trPr>
        <w:tc>
          <w:tcPr>
            <w:tcW w:w="4792" w:type="dxa"/>
          </w:tcPr>
          <w:p>
            <w:pPr>
              <w:pStyle w:val="TableParagraph"/>
              <w:spacing w:before="16"/>
              <w:ind w:left="85"/>
              <w:jc w:val="left"/>
              <w:rPr>
                <w:sz w:val="17"/>
              </w:rPr>
            </w:pPr>
            <w:r>
              <w:rPr>
                <w:w w:val="105"/>
                <w:sz w:val="17"/>
              </w:rPr>
              <w:t>Proveedores</w:t>
            </w:r>
          </w:p>
        </w:tc>
        <w:tc>
          <w:tcPr>
            <w:tcW w:w="1735" w:type="dxa"/>
          </w:tcPr>
          <w:p>
            <w:pPr>
              <w:pStyle w:val="TableParagraph"/>
              <w:spacing w:before="16"/>
              <w:ind w:left="795"/>
              <w:jc w:val="center"/>
              <w:rPr>
                <w:sz w:val="17"/>
              </w:rPr>
            </w:pPr>
            <w:r>
              <w:rPr>
                <w:w w:val="104"/>
                <w:sz w:val="17"/>
              </w:rPr>
              <w:t>6</w:t>
            </w:r>
          </w:p>
        </w:tc>
        <w:tc>
          <w:tcPr>
            <w:tcW w:w="1102" w:type="dxa"/>
          </w:tcPr>
          <w:p>
            <w:pPr>
              <w:pStyle w:val="TableParagraph"/>
              <w:spacing w:before="16"/>
              <w:ind w:right="78"/>
              <w:rPr>
                <w:sz w:val="17"/>
              </w:rPr>
            </w:pPr>
            <w:r>
              <w:rPr>
                <w:w w:val="105"/>
                <w:sz w:val="17"/>
              </w:rPr>
              <w:t>1.034,75</w:t>
            </w:r>
          </w:p>
        </w:tc>
        <w:tc>
          <w:tcPr>
            <w:tcW w:w="1038" w:type="dxa"/>
          </w:tcPr>
          <w:p>
            <w:pPr>
              <w:pStyle w:val="TableParagraph"/>
              <w:spacing w:before="16"/>
              <w:ind w:right="73"/>
              <w:rPr>
                <w:sz w:val="17"/>
              </w:rPr>
            </w:pPr>
            <w:r>
              <w:rPr>
                <w:w w:val="105"/>
                <w:sz w:val="17"/>
              </w:rPr>
              <w:t>1.585,34</w:t>
            </w:r>
          </w:p>
        </w:tc>
      </w:tr>
      <w:tr>
        <w:trPr>
          <w:trHeight w:val="266" w:hRule="atLeast"/>
        </w:trPr>
        <w:tc>
          <w:tcPr>
            <w:tcW w:w="4792" w:type="dxa"/>
            <w:tcBorders>
              <w:bottom w:val="single" w:sz="4" w:space="0" w:color="000000"/>
            </w:tcBorders>
          </w:tcPr>
          <w:p>
            <w:pPr>
              <w:pStyle w:val="TableParagraph"/>
              <w:spacing w:before="13"/>
              <w:ind w:left="85"/>
              <w:jc w:val="left"/>
              <w:rPr>
                <w:sz w:val="17"/>
              </w:rPr>
            </w:pPr>
            <w:r>
              <w:rPr>
                <w:w w:val="105"/>
                <w:sz w:val="17"/>
              </w:rPr>
              <w:t>Acreedores varios</w:t>
            </w:r>
          </w:p>
        </w:tc>
        <w:tc>
          <w:tcPr>
            <w:tcW w:w="1735" w:type="dxa"/>
            <w:tcBorders>
              <w:bottom w:val="single" w:sz="4" w:space="0" w:color="000000"/>
            </w:tcBorders>
          </w:tcPr>
          <w:p>
            <w:pPr>
              <w:pStyle w:val="TableParagraph"/>
              <w:spacing w:before="13"/>
              <w:ind w:left="952" w:right="159"/>
              <w:jc w:val="center"/>
              <w:rPr>
                <w:sz w:val="17"/>
              </w:rPr>
            </w:pPr>
            <w:r>
              <w:rPr>
                <w:w w:val="105"/>
                <w:sz w:val="17"/>
              </w:rPr>
              <w:t>6 y 8</w:t>
            </w:r>
          </w:p>
        </w:tc>
        <w:tc>
          <w:tcPr>
            <w:tcW w:w="1102" w:type="dxa"/>
            <w:tcBorders>
              <w:bottom w:val="single" w:sz="4" w:space="0" w:color="000000"/>
            </w:tcBorders>
          </w:tcPr>
          <w:p>
            <w:pPr>
              <w:pStyle w:val="TableParagraph"/>
              <w:spacing w:before="13"/>
              <w:ind w:right="78"/>
              <w:rPr>
                <w:sz w:val="17"/>
              </w:rPr>
            </w:pPr>
            <w:r>
              <w:rPr>
                <w:w w:val="105"/>
                <w:sz w:val="17"/>
              </w:rPr>
              <w:t>13.964,22</w:t>
            </w:r>
          </w:p>
        </w:tc>
        <w:tc>
          <w:tcPr>
            <w:tcW w:w="1038" w:type="dxa"/>
            <w:tcBorders>
              <w:bottom w:val="single" w:sz="4" w:space="0" w:color="000000"/>
            </w:tcBorders>
          </w:tcPr>
          <w:p>
            <w:pPr>
              <w:pStyle w:val="TableParagraph"/>
              <w:spacing w:before="13"/>
              <w:ind w:right="73"/>
              <w:rPr>
                <w:sz w:val="17"/>
              </w:rPr>
            </w:pPr>
            <w:r>
              <w:rPr>
                <w:w w:val="105"/>
                <w:sz w:val="17"/>
              </w:rPr>
              <w:t>12.162,19</w:t>
            </w:r>
          </w:p>
        </w:tc>
      </w:tr>
      <w:tr>
        <w:trPr>
          <w:trHeight w:val="287" w:hRule="atLeast"/>
        </w:trPr>
        <w:tc>
          <w:tcPr>
            <w:tcW w:w="4792" w:type="dxa"/>
            <w:tcBorders>
              <w:top w:val="single" w:sz="4" w:space="0" w:color="000000"/>
              <w:bottom w:val="single" w:sz="4" w:space="0" w:color="000000"/>
            </w:tcBorders>
            <w:shd w:val="clear" w:color="auto" w:fill="F1F1F1"/>
          </w:tcPr>
          <w:p>
            <w:pPr>
              <w:pStyle w:val="TableParagraph"/>
              <w:spacing w:before="34"/>
              <w:ind w:left="85"/>
              <w:jc w:val="left"/>
              <w:rPr>
                <w:b/>
                <w:sz w:val="17"/>
              </w:rPr>
            </w:pPr>
            <w:r>
              <w:rPr>
                <w:b/>
                <w:w w:val="105"/>
                <w:sz w:val="17"/>
              </w:rPr>
              <w:t>TOTAL PATRIMONIO NETO Y PASIVO</w:t>
            </w:r>
          </w:p>
        </w:tc>
        <w:tc>
          <w:tcPr>
            <w:tcW w:w="1735" w:type="dxa"/>
            <w:tcBorders>
              <w:top w:val="single" w:sz="4" w:space="0" w:color="000000"/>
              <w:bottom w:val="single" w:sz="4" w:space="0" w:color="000000"/>
            </w:tcBorders>
            <w:shd w:val="clear" w:color="auto" w:fill="F1F1F1"/>
          </w:tcPr>
          <w:p>
            <w:pPr>
              <w:pStyle w:val="TableParagraph"/>
              <w:spacing w:before="0"/>
              <w:jc w:val="left"/>
              <w:rPr>
                <w:rFonts w:ascii="Times New Roman"/>
                <w:sz w:val="16"/>
              </w:rPr>
            </w:pPr>
          </w:p>
        </w:tc>
        <w:tc>
          <w:tcPr>
            <w:tcW w:w="1102" w:type="dxa"/>
            <w:tcBorders>
              <w:top w:val="single" w:sz="4" w:space="0" w:color="000000"/>
              <w:bottom w:val="single" w:sz="4" w:space="0" w:color="000000"/>
            </w:tcBorders>
            <w:shd w:val="clear" w:color="auto" w:fill="F1F1F1"/>
          </w:tcPr>
          <w:p>
            <w:pPr>
              <w:pStyle w:val="TableParagraph"/>
              <w:spacing w:before="34"/>
              <w:ind w:right="71"/>
              <w:rPr>
                <w:b/>
                <w:sz w:val="17"/>
              </w:rPr>
            </w:pPr>
            <w:r>
              <w:rPr>
                <w:b/>
                <w:w w:val="105"/>
                <w:sz w:val="17"/>
              </w:rPr>
              <w:t>80.361,95</w:t>
            </w:r>
          </w:p>
        </w:tc>
        <w:tc>
          <w:tcPr>
            <w:tcW w:w="1038" w:type="dxa"/>
            <w:tcBorders>
              <w:top w:val="single" w:sz="4" w:space="0" w:color="000000"/>
              <w:bottom w:val="single" w:sz="4" w:space="0" w:color="000000"/>
            </w:tcBorders>
            <w:shd w:val="clear" w:color="auto" w:fill="F1F1F1"/>
          </w:tcPr>
          <w:p>
            <w:pPr>
              <w:pStyle w:val="TableParagraph"/>
              <w:spacing w:before="34"/>
              <w:ind w:right="66"/>
              <w:rPr>
                <w:b/>
                <w:sz w:val="17"/>
              </w:rPr>
            </w:pPr>
            <w:r>
              <w:rPr>
                <w:b/>
                <w:w w:val="105"/>
                <w:sz w:val="17"/>
              </w:rPr>
              <w:t>47.003,72</w:t>
            </w:r>
          </w:p>
        </w:tc>
      </w:tr>
    </w:tbl>
    <w:p>
      <w:pPr>
        <w:spacing w:line="244" w:lineRule="auto" w:before="109"/>
        <w:ind w:left="445" w:right="465" w:firstLine="0"/>
        <w:jc w:val="center"/>
        <w:rPr>
          <w:i/>
          <w:sz w:val="16"/>
        </w:rPr>
      </w:pPr>
      <w:r>
        <w:rPr>
          <w:i/>
          <w:sz w:val="16"/>
        </w:rPr>
        <w:t>Las cuentas anuales abreviadas de la Sociedad, que forman una sola unidad, comprenden estos Balances de Situación abreviados, </w:t>
      </w:r>
      <w:r>
        <w:rPr>
          <w:i/>
          <w:sz w:val="16"/>
        </w:rPr>
        <w:t>la Cuenta de Pérdidas y Ganancias Abreviada y la Memoria anual abreviada adjunta que consta de 11 notas</w:t>
      </w:r>
    </w:p>
    <w:p>
      <w:pPr>
        <w:spacing w:after="0" w:line="244" w:lineRule="auto"/>
        <w:jc w:val="center"/>
        <w:rPr>
          <w:sz w:val="16"/>
        </w:rPr>
        <w:sectPr>
          <w:headerReference w:type="default" r:id="rId5"/>
          <w:footerReference w:type="default" r:id="rId6"/>
          <w:pgSz w:w="11920" w:h="16850"/>
          <w:pgMar w:header="735" w:footer="891" w:top="1600" w:bottom="1080" w:left="1300" w:right="1300"/>
          <w:pgNumType w:start="1"/>
        </w:sectPr>
      </w:pPr>
    </w:p>
    <w:p>
      <w:pPr>
        <w:pStyle w:val="BodyText"/>
        <w:rPr>
          <w:i/>
          <w:sz w:val="14"/>
        </w:rPr>
      </w:pPr>
    </w:p>
    <w:p>
      <w:pPr>
        <w:spacing w:before="56"/>
        <w:ind w:left="442" w:right="465" w:firstLine="0"/>
        <w:jc w:val="center"/>
        <w:rPr>
          <w:b/>
          <w:sz w:val="22"/>
        </w:rPr>
      </w:pPr>
      <w:r>
        <w:rPr>
          <w:b/>
          <w:sz w:val="22"/>
        </w:rPr>
        <w:t>Cuenta de Pérdidas y Ganancias Abreviada correspondientes a los ejercicios 2024 y 2023</w:t>
      </w:r>
    </w:p>
    <w:p>
      <w:pPr>
        <w:pStyle w:val="Heading2"/>
        <w:spacing w:before="119"/>
      </w:pPr>
      <w:r>
        <w:rPr/>
        <w:t>(expresado en euros)</w:t>
      </w:r>
    </w:p>
    <w:p>
      <w:pPr>
        <w:pStyle w:val="BodyText"/>
        <w:spacing w:before="7"/>
        <w:rPr>
          <w:b/>
          <w:sz w:val="9"/>
        </w:rPr>
      </w:pPr>
    </w:p>
    <w:tbl>
      <w:tblPr>
        <w:tblW w:w="0" w:type="auto"/>
        <w:jc w:val="left"/>
        <w:tblInd w:w="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63"/>
        <w:gridCol w:w="1485"/>
        <w:gridCol w:w="1428"/>
        <w:gridCol w:w="1191"/>
      </w:tblGrid>
      <w:tr>
        <w:trPr>
          <w:trHeight w:val="480" w:hRule="atLeast"/>
        </w:trPr>
        <w:tc>
          <w:tcPr>
            <w:tcW w:w="4563" w:type="dxa"/>
            <w:tcBorders>
              <w:top w:val="single" w:sz="4" w:space="0" w:color="000000"/>
              <w:bottom w:val="single" w:sz="4" w:space="0" w:color="000000"/>
            </w:tcBorders>
            <w:shd w:val="clear" w:color="auto" w:fill="D9D9D9"/>
          </w:tcPr>
          <w:p>
            <w:pPr>
              <w:pStyle w:val="TableParagraph"/>
              <w:spacing w:before="1"/>
              <w:jc w:val="left"/>
              <w:rPr>
                <w:b/>
                <w:sz w:val="22"/>
              </w:rPr>
            </w:pPr>
          </w:p>
          <w:p>
            <w:pPr>
              <w:pStyle w:val="TableParagraph"/>
              <w:spacing w:line="190" w:lineRule="exact" w:before="0"/>
              <w:ind w:left="1021"/>
              <w:jc w:val="left"/>
              <w:rPr>
                <w:b/>
                <w:sz w:val="17"/>
              </w:rPr>
            </w:pPr>
            <w:r>
              <w:rPr>
                <w:b/>
                <w:w w:val="105"/>
                <w:sz w:val="17"/>
              </w:rPr>
              <w:t>CUENTA DE PÉRDIDAS Y GANANCIAS</w:t>
            </w:r>
          </w:p>
        </w:tc>
        <w:tc>
          <w:tcPr>
            <w:tcW w:w="1485" w:type="dxa"/>
            <w:tcBorders>
              <w:top w:val="single" w:sz="4" w:space="0" w:color="000000"/>
              <w:bottom w:val="single" w:sz="4" w:space="0" w:color="000000"/>
            </w:tcBorders>
            <w:shd w:val="clear" w:color="auto" w:fill="D9D9D9"/>
          </w:tcPr>
          <w:p>
            <w:pPr>
              <w:pStyle w:val="TableParagraph"/>
              <w:spacing w:line="220" w:lineRule="atLeast" w:before="37"/>
              <w:ind w:left="497" w:right="285" w:firstLine="128"/>
              <w:jc w:val="left"/>
              <w:rPr>
                <w:b/>
                <w:sz w:val="17"/>
              </w:rPr>
            </w:pPr>
            <w:r>
              <w:rPr>
                <w:b/>
                <w:w w:val="105"/>
                <w:sz w:val="17"/>
              </w:rPr>
              <w:t>Notas Memoria</w:t>
            </w:r>
          </w:p>
        </w:tc>
        <w:tc>
          <w:tcPr>
            <w:tcW w:w="1428" w:type="dxa"/>
            <w:tcBorders>
              <w:top w:val="single" w:sz="4" w:space="0" w:color="000000"/>
              <w:bottom w:val="single" w:sz="4" w:space="0" w:color="000000"/>
            </w:tcBorders>
            <w:shd w:val="clear" w:color="auto" w:fill="D9D9D9"/>
          </w:tcPr>
          <w:p>
            <w:pPr>
              <w:pStyle w:val="TableParagraph"/>
              <w:spacing w:before="1"/>
              <w:jc w:val="left"/>
              <w:rPr>
                <w:b/>
                <w:sz w:val="22"/>
              </w:rPr>
            </w:pPr>
          </w:p>
          <w:p>
            <w:pPr>
              <w:pStyle w:val="TableParagraph"/>
              <w:spacing w:line="190" w:lineRule="exact" w:before="0"/>
              <w:ind w:left="467"/>
              <w:jc w:val="left"/>
              <w:rPr>
                <w:b/>
                <w:sz w:val="17"/>
              </w:rPr>
            </w:pPr>
            <w:r>
              <w:rPr>
                <w:b/>
                <w:w w:val="105"/>
                <w:sz w:val="17"/>
              </w:rPr>
              <w:t>2024</w:t>
            </w:r>
          </w:p>
        </w:tc>
        <w:tc>
          <w:tcPr>
            <w:tcW w:w="1191" w:type="dxa"/>
            <w:tcBorders>
              <w:top w:val="single" w:sz="4" w:space="0" w:color="000000"/>
              <w:bottom w:val="single" w:sz="4" w:space="0" w:color="000000"/>
            </w:tcBorders>
            <w:shd w:val="clear" w:color="auto" w:fill="D9D9D9"/>
          </w:tcPr>
          <w:p>
            <w:pPr>
              <w:pStyle w:val="TableParagraph"/>
              <w:spacing w:before="1"/>
              <w:jc w:val="left"/>
              <w:rPr>
                <w:b/>
                <w:sz w:val="22"/>
              </w:rPr>
            </w:pPr>
          </w:p>
          <w:p>
            <w:pPr>
              <w:pStyle w:val="TableParagraph"/>
              <w:spacing w:line="190" w:lineRule="exact" w:before="0"/>
              <w:ind w:left="352"/>
              <w:jc w:val="left"/>
              <w:rPr>
                <w:b/>
                <w:sz w:val="17"/>
              </w:rPr>
            </w:pPr>
            <w:r>
              <w:rPr>
                <w:b/>
                <w:w w:val="105"/>
                <w:sz w:val="17"/>
              </w:rPr>
              <w:t>2023</w:t>
            </w:r>
          </w:p>
        </w:tc>
      </w:tr>
      <w:tr>
        <w:trPr>
          <w:trHeight w:val="358" w:hRule="atLeast"/>
        </w:trPr>
        <w:tc>
          <w:tcPr>
            <w:tcW w:w="4563" w:type="dxa"/>
            <w:tcBorders>
              <w:top w:val="single" w:sz="4" w:space="0" w:color="000000"/>
            </w:tcBorders>
          </w:tcPr>
          <w:p>
            <w:pPr>
              <w:pStyle w:val="TableParagraph"/>
              <w:spacing w:before="70"/>
              <w:ind w:left="85"/>
              <w:jc w:val="left"/>
              <w:rPr>
                <w:sz w:val="17"/>
              </w:rPr>
            </w:pPr>
            <w:r>
              <w:rPr>
                <w:w w:val="105"/>
                <w:sz w:val="17"/>
              </w:rPr>
              <w:t>Importe neto de la cifra de negocio</w:t>
            </w:r>
          </w:p>
        </w:tc>
        <w:tc>
          <w:tcPr>
            <w:tcW w:w="1485" w:type="dxa"/>
            <w:tcBorders>
              <w:top w:val="single" w:sz="4" w:space="0" w:color="000000"/>
            </w:tcBorders>
          </w:tcPr>
          <w:p>
            <w:pPr>
              <w:pStyle w:val="TableParagraph"/>
              <w:spacing w:before="0"/>
              <w:jc w:val="left"/>
              <w:rPr>
                <w:rFonts w:ascii="Times New Roman"/>
                <w:sz w:val="18"/>
              </w:rPr>
            </w:pPr>
          </w:p>
        </w:tc>
        <w:tc>
          <w:tcPr>
            <w:tcW w:w="1428" w:type="dxa"/>
            <w:tcBorders>
              <w:top w:val="single" w:sz="4" w:space="0" w:color="000000"/>
            </w:tcBorders>
          </w:tcPr>
          <w:p>
            <w:pPr>
              <w:pStyle w:val="TableParagraph"/>
              <w:spacing w:before="70"/>
              <w:ind w:right="195"/>
              <w:rPr>
                <w:sz w:val="17"/>
              </w:rPr>
            </w:pPr>
            <w:r>
              <w:rPr>
                <w:w w:val="105"/>
                <w:sz w:val="17"/>
              </w:rPr>
              <w:t>10.237,40</w:t>
            </w:r>
          </w:p>
        </w:tc>
        <w:tc>
          <w:tcPr>
            <w:tcW w:w="1191" w:type="dxa"/>
            <w:tcBorders>
              <w:top w:val="single" w:sz="4" w:space="0" w:color="000000"/>
            </w:tcBorders>
          </w:tcPr>
          <w:p>
            <w:pPr>
              <w:pStyle w:val="TableParagraph"/>
              <w:spacing w:before="70"/>
              <w:ind w:right="73"/>
              <w:rPr>
                <w:sz w:val="17"/>
              </w:rPr>
            </w:pPr>
            <w:r>
              <w:rPr>
                <w:w w:val="105"/>
                <w:sz w:val="17"/>
              </w:rPr>
              <w:t>10.192,60</w:t>
            </w:r>
          </w:p>
        </w:tc>
      </w:tr>
      <w:tr>
        <w:trPr>
          <w:trHeight w:val="340" w:hRule="atLeast"/>
        </w:trPr>
        <w:tc>
          <w:tcPr>
            <w:tcW w:w="4563" w:type="dxa"/>
          </w:tcPr>
          <w:p>
            <w:pPr>
              <w:pStyle w:val="TableParagraph"/>
              <w:spacing w:before="52"/>
              <w:ind w:left="85"/>
              <w:jc w:val="left"/>
              <w:rPr>
                <w:sz w:val="17"/>
              </w:rPr>
            </w:pPr>
            <w:r>
              <w:rPr>
                <w:w w:val="105"/>
                <w:sz w:val="17"/>
              </w:rPr>
              <w:t>Otros ingresos de explotación</w:t>
            </w:r>
          </w:p>
        </w:tc>
        <w:tc>
          <w:tcPr>
            <w:tcW w:w="1485" w:type="dxa"/>
          </w:tcPr>
          <w:p>
            <w:pPr>
              <w:pStyle w:val="TableParagraph"/>
              <w:spacing w:before="52"/>
              <w:ind w:left="540" w:right="333"/>
              <w:jc w:val="center"/>
              <w:rPr>
                <w:b/>
                <w:sz w:val="17"/>
              </w:rPr>
            </w:pPr>
            <w:r>
              <w:rPr>
                <w:b/>
                <w:w w:val="105"/>
                <w:sz w:val="17"/>
              </w:rPr>
              <w:t>9 y 10.E</w:t>
            </w:r>
          </w:p>
        </w:tc>
        <w:tc>
          <w:tcPr>
            <w:tcW w:w="1428" w:type="dxa"/>
          </w:tcPr>
          <w:p>
            <w:pPr>
              <w:pStyle w:val="TableParagraph"/>
              <w:spacing w:before="52"/>
              <w:ind w:right="195"/>
              <w:rPr>
                <w:sz w:val="17"/>
              </w:rPr>
            </w:pPr>
            <w:r>
              <w:rPr>
                <w:w w:val="105"/>
                <w:sz w:val="17"/>
              </w:rPr>
              <w:t>250.941,28</w:t>
            </w:r>
          </w:p>
        </w:tc>
        <w:tc>
          <w:tcPr>
            <w:tcW w:w="1191" w:type="dxa"/>
          </w:tcPr>
          <w:p>
            <w:pPr>
              <w:pStyle w:val="TableParagraph"/>
              <w:spacing w:before="52"/>
              <w:ind w:right="73"/>
              <w:rPr>
                <w:sz w:val="17"/>
              </w:rPr>
            </w:pPr>
            <w:r>
              <w:rPr>
                <w:w w:val="105"/>
                <w:sz w:val="17"/>
              </w:rPr>
              <w:t>274.429,08</w:t>
            </w:r>
          </w:p>
        </w:tc>
      </w:tr>
      <w:tr>
        <w:trPr>
          <w:trHeight w:val="340" w:hRule="atLeast"/>
        </w:trPr>
        <w:tc>
          <w:tcPr>
            <w:tcW w:w="4563" w:type="dxa"/>
          </w:tcPr>
          <w:p>
            <w:pPr>
              <w:pStyle w:val="TableParagraph"/>
              <w:spacing w:before="52"/>
              <w:ind w:left="85"/>
              <w:jc w:val="left"/>
              <w:rPr>
                <w:sz w:val="17"/>
              </w:rPr>
            </w:pPr>
            <w:r>
              <w:rPr>
                <w:w w:val="105"/>
                <w:sz w:val="17"/>
              </w:rPr>
              <w:t>Gastos de personal</w:t>
            </w:r>
          </w:p>
        </w:tc>
        <w:tc>
          <w:tcPr>
            <w:tcW w:w="1485" w:type="dxa"/>
          </w:tcPr>
          <w:p>
            <w:pPr>
              <w:pStyle w:val="TableParagraph"/>
              <w:spacing w:before="52"/>
              <w:ind w:left="526" w:right="333"/>
              <w:jc w:val="center"/>
              <w:rPr>
                <w:b/>
                <w:sz w:val="17"/>
              </w:rPr>
            </w:pPr>
            <w:r>
              <w:rPr>
                <w:b/>
                <w:w w:val="105"/>
                <w:sz w:val="17"/>
              </w:rPr>
              <w:t>10.C</w:t>
            </w:r>
          </w:p>
        </w:tc>
        <w:tc>
          <w:tcPr>
            <w:tcW w:w="1428" w:type="dxa"/>
          </w:tcPr>
          <w:p>
            <w:pPr>
              <w:pStyle w:val="TableParagraph"/>
              <w:spacing w:before="52"/>
              <w:ind w:right="189"/>
              <w:rPr>
                <w:sz w:val="17"/>
              </w:rPr>
            </w:pPr>
            <w:r>
              <w:rPr>
                <w:w w:val="105"/>
                <w:sz w:val="17"/>
              </w:rPr>
              <w:t>(254.468,32)</w:t>
            </w:r>
          </w:p>
        </w:tc>
        <w:tc>
          <w:tcPr>
            <w:tcW w:w="1191" w:type="dxa"/>
          </w:tcPr>
          <w:p>
            <w:pPr>
              <w:pStyle w:val="TableParagraph"/>
              <w:spacing w:before="52"/>
              <w:ind w:right="67"/>
              <w:rPr>
                <w:sz w:val="17"/>
              </w:rPr>
            </w:pPr>
            <w:r>
              <w:rPr>
                <w:w w:val="105"/>
                <w:sz w:val="17"/>
              </w:rPr>
              <w:t>(244.247,39)</w:t>
            </w:r>
          </w:p>
        </w:tc>
      </w:tr>
      <w:tr>
        <w:trPr>
          <w:trHeight w:val="337" w:hRule="atLeast"/>
        </w:trPr>
        <w:tc>
          <w:tcPr>
            <w:tcW w:w="4563" w:type="dxa"/>
          </w:tcPr>
          <w:p>
            <w:pPr>
              <w:pStyle w:val="TableParagraph"/>
              <w:spacing w:before="53"/>
              <w:ind w:left="85"/>
              <w:jc w:val="left"/>
              <w:rPr>
                <w:sz w:val="17"/>
              </w:rPr>
            </w:pPr>
            <w:r>
              <w:rPr>
                <w:w w:val="105"/>
                <w:sz w:val="17"/>
              </w:rPr>
              <w:t>Otros gastos de explotación</w:t>
            </w:r>
          </w:p>
        </w:tc>
        <w:tc>
          <w:tcPr>
            <w:tcW w:w="1485" w:type="dxa"/>
          </w:tcPr>
          <w:p>
            <w:pPr>
              <w:pStyle w:val="TableParagraph"/>
              <w:spacing w:before="53"/>
              <w:ind w:left="530" w:right="333"/>
              <w:jc w:val="center"/>
              <w:rPr>
                <w:b/>
                <w:sz w:val="17"/>
              </w:rPr>
            </w:pPr>
            <w:r>
              <w:rPr>
                <w:b/>
                <w:w w:val="105"/>
                <w:sz w:val="17"/>
              </w:rPr>
              <w:t>10.D</w:t>
            </w:r>
          </w:p>
        </w:tc>
        <w:tc>
          <w:tcPr>
            <w:tcW w:w="1428" w:type="dxa"/>
          </w:tcPr>
          <w:p>
            <w:pPr>
              <w:pStyle w:val="TableParagraph"/>
              <w:spacing w:before="53"/>
              <w:ind w:right="189"/>
              <w:rPr>
                <w:sz w:val="17"/>
              </w:rPr>
            </w:pPr>
            <w:r>
              <w:rPr>
                <w:w w:val="105"/>
                <w:sz w:val="17"/>
              </w:rPr>
              <w:t>(35.503,52)</w:t>
            </w:r>
          </w:p>
        </w:tc>
        <w:tc>
          <w:tcPr>
            <w:tcW w:w="1191" w:type="dxa"/>
          </w:tcPr>
          <w:p>
            <w:pPr>
              <w:pStyle w:val="TableParagraph"/>
              <w:spacing w:before="53"/>
              <w:ind w:right="67"/>
              <w:rPr>
                <w:sz w:val="17"/>
              </w:rPr>
            </w:pPr>
            <w:r>
              <w:rPr>
                <w:w w:val="105"/>
                <w:sz w:val="17"/>
              </w:rPr>
              <w:t>(30.072,91)</w:t>
            </w:r>
          </w:p>
        </w:tc>
      </w:tr>
      <w:tr>
        <w:trPr>
          <w:trHeight w:val="336" w:hRule="atLeast"/>
        </w:trPr>
        <w:tc>
          <w:tcPr>
            <w:tcW w:w="4563" w:type="dxa"/>
          </w:tcPr>
          <w:p>
            <w:pPr>
              <w:pStyle w:val="TableParagraph"/>
              <w:spacing w:before="49"/>
              <w:ind w:left="85"/>
              <w:jc w:val="left"/>
              <w:rPr>
                <w:sz w:val="17"/>
              </w:rPr>
            </w:pPr>
            <w:r>
              <w:rPr>
                <w:w w:val="105"/>
                <w:sz w:val="17"/>
              </w:rPr>
              <w:t>Amortización del inmovilizado</w:t>
            </w:r>
          </w:p>
        </w:tc>
        <w:tc>
          <w:tcPr>
            <w:tcW w:w="1485" w:type="dxa"/>
          </w:tcPr>
          <w:p>
            <w:pPr>
              <w:pStyle w:val="TableParagraph"/>
              <w:spacing w:before="49"/>
              <w:ind w:left="196"/>
              <w:jc w:val="center"/>
              <w:rPr>
                <w:b/>
                <w:sz w:val="17"/>
              </w:rPr>
            </w:pPr>
            <w:r>
              <w:rPr>
                <w:b/>
                <w:w w:val="104"/>
                <w:sz w:val="17"/>
              </w:rPr>
              <w:t>4</w:t>
            </w:r>
          </w:p>
        </w:tc>
        <w:tc>
          <w:tcPr>
            <w:tcW w:w="1428" w:type="dxa"/>
          </w:tcPr>
          <w:p>
            <w:pPr>
              <w:pStyle w:val="TableParagraph"/>
              <w:spacing w:before="49"/>
              <w:ind w:right="189"/>
              <w:rPr>
                <w:sz w:val="17"/>
              </w:rPr>
            </w:pPr>
            <w:r>
              <w:rPr>
                <w:w w:val="105"/>
                <w:sz w:val="17"/>
              </w:rPr>
              <w:t>(3.146,83)</w:t>
            </w:r>
          </w:p>
        </w:tc>
        <w:tc>
          <w:tcPr>
            <w:tcW w:w="1191" w:type="dxa"/>
          </w:tcPr>
          <w:p>
            <w:pPr>
              <w:pStyle w:val="TableParagraph"/>
              <w:spacing w:before="49"/>
              <w:ind w:right="66"/>
              <w:rPr>
                <w:sz w:val="17"/>
              </w:rPr>
            </w:pPr>
            <w:r>
              <w:rPr>
                <w:w w:val="105"/>
                <w:sz w:val="17"/>
              </w:rPr>
              <w:t>(3.215,42)</w:t>
            </w:r>
          </w:p>
        </w:tc>
      </w:tr>
      <w:tr>
        <w:trPr>
          <w:trHeight w:val="328" w:hRule="atLeast"/>
        </w:trPr>
        <w:tc>
          <w:tcPr>
            <w:tcW w:w="4563" w:type="dxa"/>
          </w:tcPr>
          <w:p>
            <w:pPr>
              <w:pStyle w:val="TableParagraph"/>
              <w:spacing w:before="52"/>
              <w:ind w:left="85"/>
              <w:jc w:val="left"/>
              <w:rPr>
                <w:sz w:val="17"/>
              </w:rPr>
            </w:pPr>
            <w:r>
              <w:rPr>
                <w:w w:val="105"/>
                <w:sz w:val="17"/>
              </w:rPr>
              <w:t>Imputación de subv. inmovilizado no financiero y otras</w:t>
            </w:r>
          </w:p>
        </w:tc>
        <w:tc>
          <w:tcPr>
            <w:tcW w:w="1485" w:type="dxa"/>
          </w:tcPr>
          <w:p>
            <w:pPr>
              <w:pStyle w:val="TableParagraph"/>
              <w:spacing w:before="52"/>
              <w:ind w:left="533" w:right="333"/>
              <w:jc w:val="center"/>
              <w:rPr>
                <w:b/>
                <w:sz w:val="17"/>
              </w:rPr>
            </w:pPr>
            <w:r>
              <w:rPr>
                <w:b/>
                <w:w w:val="105"/>
                <w:sz w:val="17"/>
              </w:rPr>
              <w:t>10.E</w:t>
            </w:r>
          </w:p>
        </w:tc>
        <w:tc>
          <w:tcPr>
            <w:tcW w:w="1428" w:type="dxa"/>
          </w:tcPr>
          <w:p>
            <w:pPr>
              <w:pStyle w:val="TableParagraph"/>
              <w:spacing w:before="52"/>
              <w:ind w:right="195"/>
              <w:rPr>
                <w:sz w:val="17"/>
              </w:rPr>
            </w:pPr>
            <w:r>
              <w:rPr>
                <w:w w:val="105"/>
                <w:sz w:val="17"/>
              </w:rPr>
              <w:t>2.302,64</w:t>
            </w:r>
          </w:p>
        </w:tc>
        <w:tc>
          <w:tcPr>
            <w:tcW w:w="1191" w:type="dxa"/>
          </w:tcPr>
          <w:p>
            <w:pPr>
              <w:pStyle w:val="TableParagraph"/>
              <w:spacing w:before="52"/>
              <w:ind w:right="73"/>
              <w:rPr>
                <w:sz w:val="17"/>
              </w:rPr>
            </w:pPr>
            <w:r>
              <w:rPr>
                <w:w w:val="105"/>
                <w:sz w:val="17"/>
              </w:rPr>
              <w:t>2.235,39</w:t>
            </w:r>
          </w:p>
        </w:tc>
      </w:tr>
      <w:tr>
        <w:trPr>
          <w:trHeight w:val="353" w:hRule="atLeast"/>
        </w:trPr>
        <w:tc>
          <w:tcPr>
            <w:tcW w:w="4563" w:type="dxa"/>
            <w:shd w:val="clear" w:color="auto" w:fill="F1F1F1"/>
          </w:tcPr>
          <w:p>
            <w:pPr>
              <w:pStyle w:val="TableParagraph"/>
              <w:spacing w:before="65"/>
              <w:ind w:left="85"/>
              <w:jc w:val="left"/>
              <w:rPr>
                <w:b/>
                <w:sz w:val="17"/>
              </w:rPr>
            </w:pPr>
            <w:r>
              <w:rPr>
                <w:b/>
                <w:w w:val="105"/>
                <w:sz w:val="17"/>
              </w:rPr>
              <w:t>RESULTADO DE EXPLOTACIÓN</w:t>
            </w:r>
          </w:p>
        </w:tc>
        <w:tc>
          <w:tcPr>
            <w:tcW w:w="1485" w:type="dxa"/>
            <w:shd w:val="clear" w:color="auto" w:fill="F1F1F1"/>
          </w:tcPr>
          <w:p>
            <w:pPr>
              <w:pStyle w:val="TableParagraph"/>
              <w:spacing w:before="0"/>
              <w:jc w:val="left"/>
              <w:rPr>
                <w:rFonts w:ascii="Times New Roman"/>
                <w:sz w:val="18"/>
              </w:rPr>
            </w:pPr>
          </w:p>
        </w:tc>
        <w:tc>
          <w:tcPr>
            <w:tcW w:w="1428" w:type="dxa"/>
            <w:shd w:val="clear" w:color="auto" w:fill="F1F1F1"/>
          </w:tcPr>
          <w:p>
            <w:pPr>
              <w:pStyle w:val="TableParagraph"/>
              <w:spacing w:before="65"/>
              <w:ind w:right="188"/>
              <w:rPr>
                <w:b/>
                <w:sz w:val="17"/>
              </w:rPr>
            </w:pPr>
            <w:r>
              <w:rPr>
                <w:b/>
                <w:w w:val="105"/>
                <w:sz w:val="17"/>
              </w:rPr>
              <w:t>(29.637,35)</w:t>
            </w:r>
          </w:p>
        </w:tc>
        <w:tc>
          <w:tcPr>
            <w:tcW w:w="1191" w:type="dxa"/>
            <w:shd w:val="clear" w:color="auto" w:fill="F1F1F1"/>
          </w:tcPr>
          <w:p>
            <w:pPr>
              <w:pStyle w:val="TableParagraph"/>
              <w:spacing w:before="65"/>
              <w:ind w:right="73"/>
              <w:rPr>
                <w:b/>
                <w:sz w:val="17"/>
              </w:rPr>
            </w:pPr>
            <w:r>
              <w:rPr>
                <w:b/>
                <w:w w:val="105"/>
                <w:sz w:val="17"/>
              </w:rPr>
              <w:t>9.321,35</w:t>
            </w:r>
          </w:p>
        </w:tc>
      </w:tr>
      <w:tr>
        <w:trPr>
          <w:trHeight w:val="340" w:hRule="atLeast"/>
        </w:trPr>
        <w:tc>
          <w:tcPr>
            <w:tcW w:w="4563" w:type="dxa"/>
            <w:shd w:val="clear" w:color="auto" w:fill="F1F1F1"/>
          </w:tcPr>
          <w:p>
            <w:pPr>
              <w:pStyle w:val="TableParagraph"/>
              <w:spacing w:before="52"/>
              <w:ind w:left="85"/>
              <w:jc w:val="left"/>
              <w:rPr>
                <w:b/>
                <w:sz w:val="17"/>
              </w:rPr>
            </w:pPr>
            <w:r>
              <w:rPr>
                <w:b/>
                <w:w w:val="105"/>
                <w:sz w:val="17"/>
              </w:rPr>
              <w:t>RESULTADO FINANCIERO</w:t>
            </w:r>
          </w:p>
        </w:tc>
        <w:tc>
          <w:tcPr>
            <w:tcW w:w="1485" w:type="dxa"/>
            <w:shd w:val="clear" w:color="auto" w:fill="F1F1F1"/>
          </w:tcPr>
          <w:p>
            <w:pPr>
              <w:pStyle w:val="TableParagraph"/>
              <w:spacing w:before="0"/>
              <w:jc w:val="left"/>
              <w:rPr>
                <w:rFonts w:ascii="Times New Roman"/>
                <w:sz w:val="18"/>
              </w:rPr>
            </w:pPr>
          </w:p>
        </w:tc>
        <w:tc>
          <w:tcPr>
            <w:tcW w:w="1428" w:type="dxa"/>
            <w:shd w:val="clear" w:color="auto" w:fill="F1F1F1"/>
          </w:tcPr>
          <w:p>
            <w:pPr>
              <w:pStyle w:val="TableParagraph"/>
              <w:spacing w:before="52"/>
              <w:ind w:right="194"/>
              <w:rPr>
                <w:b/>
                <w:sz w:val="17"/>
              </w:rPr>
            </w:pPr>
            <w:r>
              <w:rPr>
                <w:b/>
                <w:w w:val="104"/>
                <w:sz w:val="17"/>
              </w:rPr>
              <w:t>-</w:t>
            </w:r>
          </w:p>
        </w:tc>
        <w:tc>
          <w:tcPr>
            <w:tcW w:w="1191" w:type="dxa"/>
            <w:shd w:val="clear" w:color="auto" w:fill="F1F1F1"/>
          </w:tcPr>
          <w:p>
            <w:pPr>
              <w:pStyle w:val="TableParagraph"/>
              <w:spacing w:before="52"/>
              <w:ind w:right="71"/>
              <w:rPr>
                <w:b/>
                <w:sz w:val="17"/>
              </w:rPr>
            </w:pPr>
            <w:r>
              <w:rPr>
                <w:b/>
                <w:w w:val="104"/>
                <w:sz w:val="17"/>
              </w:rPr>
              <w:t>-</w:t>
            </w:r>
          </w:p>
        </w:tc>
      </w:tr>
      <w:tr>
        <w:trPr>
          <w:trHeight w:val="328" w:hRule="atLeast"/>
        </w:trPr>
        <w:tc>
          <w:tcPr>
            <w:tcW w:w="4563" w:type="dxa"/>
            <w:shd w:val="clear" w:color="auto" w:fill="F1F1F1"/>
          </w:tcPr>
          <w:p>
            <w:pPr>
              <w:pStyle w:val="TableParagraph"/>
              <w:spacing w:before="52"/>
              <w:ind w:left="85"/>
              <w:jc w:val="left"/>
              <w:rPr>
                <w:b/>
                <w:sz w:val="17"/>
              </w:rPr>
            </w:pPr>
            <w:r>
              <w:rPr>
                <w:b/>
                <w:w w:val="105"/>
                <w:sz w:val="17"/>
              </w:rPr>
              <w:t>RESULTADO ANTES DE IMPUESTOS</w:t>
            </w:r>
          </w:p>
        </w:tc>
        <w:tc>
          <w:tcPr>
            <w:tcW w:w="1485" w:type="dxa"/>
            <w:shd w:val="clear" w:color="auto" w:fill="F1F1F1"/>
          </w:tcPr>
          <w:p>
            <w:pPr>
              <w:pStyle w:val="TableParagraph"/>
              <w:spacing w:before="0"/>
              <w:jc w:val="left"/>
              <w:rPr>
                <w:rFonts w:ascii="Times New Roman"/>
                <w:sz w:val="18"/>
              </w:rPr>
            </w:pPr>
          </w:p>
        </w:tc>
        <w:tc>
          <w:tcPr>
            <w:tcW w:w="1428" w:type="dxa"/>
            <w:shd w:val="clear" w:color="auto" w:fill="F1F1F1"/>
          </w:tcPr>
          <w:p>
            <w:pPr>
              <w:pStyle w:val="TableParagraph"/>
              <w:spacing w:before="52"/>
              <w:ind w:right="188"/>
              <w:rPr>
                <w:b/>
                <w:sz w:val="17"/>
              </w:rPr>
            </w:pPr>
            <w:r>
              <w:rPr>
                <w:b/>
                <w:w w:val="105"/>
                <w:sz w:val="17"/>
              </w:rPr>
              <w:t>(29.637,35)</w:t>
            </w:r>
          </w:p>
        </w:tc>
        <w:tc>
          <w:tcPr>
            <w:tcW w:w="1191" w:type="dxa"/>
            <w:shd w:val="clear" w:color="auto" w:fill="F1F1F1"/>
          </w:tcPr>
          <w:p>
            <w:pPr>
              <w:pStyle w:val="TableParagraph"/>
              <w:spacing w:before="52"/>
              <w:ind w:right="73"/>
              <w:rPr>
                <w:b/>
                <w:sz w:val="17"/>
              </w:rPr>
            </w:pPr>
            <w:r>
              <w:rPr>
                <w:b/>
                <w:w w:val="105"/>
                <w:sz w:val="17"/>
              </w:rPr>
              <w:t>9.321,35</w:t>
            </w:r>
          </w:p>
        </w:tc>
      </w:tr>
      <w:tr>
        <w:trPr>
          <w:trHeight w:val="339" w:hRule="atLeast"/>
        </w:trPr>
        <w:tc>
          <w:tcPr>
            <w:tcW w:w="4563" w:type="dxa"/>
            <w:tcBorders>
              <w:bottom w:val="single" w:sz="4" w:space="0" w:color="000000"/>
            </w:tcBorders>
          </w:tcPr>
          <w:p>
            <w:pPr>
              <w:pStyle w:val="TableParagraph"/>
              <w:spacing w:before="65"/>
              <w:ind w:left="85"/>
              <w:jc w:val="left"/>
              <w:rPr>
                <w:sz w:val="17"/>
              </w:rPr>
            </w:pPr>
            <w:r>
              <w:rPr>
                <w:w w:val="105"/>
                <w:sz w:val="17"/>
              </w:rPr>
              <w:t>Impuestos sobre beneficios</w:t>
            </w:r>
          </w:p>
        </w:tc>
        <w:tc>
          <w:tcPr>
            <w:tcW w:w="1485" w:type="dxa"/>
            <w:tcBorders>
              <w:bottom w:val="single" w:sz="4" w:space="0" w:color="000000"/>
            </w:tcBorders>
          </w:tcPr>
          <w:p>
            <w:pPr>
              <w:pStyle w:val="TableParagraph"/>
              <w:spacing w:before="65"/>
              <w:ind w:left="196"/>
              <w:jc w:val="center"/>
              <w:rPr>
                <w:sz w:val="17"/>
              </w:rPr>
            </w:pPr>
            <w:r>
              <w:rPr>
                <w:w w:val="104"/>
                <w:sz w:val="17"/>
              </w:rPr>
              <w:t>8</w:t>
            </w:r>
          </w:p>
        </w:tc>
        <w:tc>
          <w:tcPr>
            <w:tcW w:w="1428" w:type="dxa"/>
            <w:tcBorders>
              <w:bottom w:val="single" w:sz="4" w:space="0" w:color="000000"/>
            </w:tcBorders>
          </w:tcPr>
          <w:p>
            <w:pPr>
              <w:pStyle w:val="TableParagraph"/>
              <w:spacing w:before="65"/>
              <w:ind w:right="194"/>
              <w:rPr>
                <w:sz w:val="17"/>
              </w:rPr>
            </w:pPr>
            <w:r>
              <w:rPr>
                <w:w w:val="104"/>
                <w:sz w:val="17"/>
              </w:rPr>
              <w:t>-</w:t>
            </w:r>
          </w:p>
        </w:tc>
        <w:tc>
          <w:tcPr>
            <w:tcW w:w="1191" w:type="dxa"/>
            <w:tcBorders>
              <w:bottom w:val="single" w:sz="4" w:space="0" w:color="000000"/>
            </w:tcBorders>
          </w:tcPr>
          <w:p>
            <w:pPr>
              <w:pStyle w:val="TableParagraph"/>
              <w:spacing w:before="65"/>
              <w:ind w:right="71"/>
              <w:rPr>
                <w:sz w:val="17"/>
              </w:rPr>
            </w:pPr>
            <w:r>
              <w:rPr>
                <w:w w:val="104"/>
                <w:sz w:val="17"/>
              </w:rPr>
              <w:t>-</w:t>
            </w:r>
          </w:p>
        </w:tc>
      </w:tr>
      <w:tr>
        <w:trPr>
          <w:trHeight w:val="337" w:hRule="atLeast"/>
        </w:trPr>
        <w:tc>
          <w:tcPr>
            <w:tcW w:w="4563" w:type="dxa"/>
            <w:tcBorders>
              <w:top w:val="single" w:sz="4" w:space="0" w:color="000000"/>
              <w:bottom w:val="single" w:sz="4" w:space="0" w:color="000000"/>
            </w:tcBorders>
            <w:shd w:val="clear" w:color="auto" w:fill="F1F1F1"/>
          </w:tcPr>
          <w:p>
            <w:pPr>
              <w:pStyle w:val="TableParagraph"/>
              <w:spacing w:before="63"/>
              <w:ind w:left="85"/>
              <w:jc w:val="left"/>
              <w:rPr>
                <w:b/>
                <w:sz w:val="17"/>
              </w:rPr>
            </w:pPr>
            <w:r>
              <w:rPr>
                <w:b/>
                <w:w w:val="105"/>
                <w:sz w:val="17"/>
              </w:rPr>
              <w:t>RESULTADO DEL EJERCICIO</w:t>
            </w:r>
          </w:p>
        </w:tc>
        <w:tc>
          <w:tcPr>
            <w:tcW w:w="1485" w:type="dxa"/>
            <w:tcBorders>
              <w:top w:val="single" w:sz="4" w:space="0" w:color="000000"/>
              <w:bottom w:val="single" w:sz="4" w:space="0" w:color="000000"/>
            </w:tcBorders>
            <w:shd w:val="clear" w:color="auto" w:fill="F1F1F1"/>
          </w:tcPr>
          <w:p>
            <w:pPr>
              <w:pStyle w:val="TableParagraph"/>
              <w:spacing w:before="0"/>
              <w:jc w:val="left"/>
              <w:rPr>
                <w:rFonts w:ascii="Times New Roman"/>
                <w:sz w:val="18"/>
              </w:rPr>
            </w:pPr>
          </w:p>
        </w:tc>
        <w:tc>
          <w:tcPr>
            <w:tcW w:w="1428" w:type="dxa"/>
            <w:tcBorders>
              <w:top w:val="single" w:sz="4" w:space="0" w:color="000000"/>
              <w:bottom w:val="single" w:sz="4" w:space="0" w:color="000000"/>
            </w:tcBorders>
            <w:shd w:val="clear" w:color="auto" w:fill="F1F1F1"/>
          </w:tcPr>
          <w:p>
            <w:pPr>
              <w:pStyle w:val="TableParagraph"/>
              <w:spacing w:before="63"/>
              <w:ind w:right="188"/>
              <w:rPr>
                <w:b/>
                <w:sz w:val="17"/>
              </w:rPr>
            </w:pPr>
            <w:r>
              <w:rPr>
                <w:b/>
                <w:w w:val="105"/>
                <w:sz w:val="17"/>
              </w:rPr>
              <w:t>(29.637,35)</w:t>
            </w:r>
          </w:p>
        </w:tc>
        <w:tc>
          <w:tcPr>
            <w:tcW w:w="1191" w:type="dxa"/>
            <w:tcBorders>
              <w:top w:val="single" w:sz="4" w:space="0" w:color="000000"/>
              <w:bottom w:val="single" w:sz="4" w:space="0" w:color="000000"/>
            </w:tcBorders>
            <w:shd w:val="clear" w:color="auto" w:fill="F1F1F1"/>
          </w:tcPr>
          <w:p>
            <w:pPr>
              <w:pStyle w:val="TableParagraph"/>
              <w:spacing w:before="63"/>
              <w:ind w:right="73"/>
              <w:rPr>
                <w:b/>
                <w:sz w:val="17"/>
              </w:rPr>
            </w:pPr>
            <w:r>
              <w:rPr>
                <w:b/>
                <w:w w:val="105"/>
                <w:sz w:val="17"/>
              </w:rPr>
              <w:t>9.321,35</w:t>
            </w:r>
          </w:p>
        </w:tc>
      </w:tr>
    </w:tbl>
    <w:p>
      <w:pPr>
        <w:spacing w:line="244" w:lineRule="auto" w:before="117"/>
        <w:ind w:left="445" w:right="462" w:firstLine="0"/>
        <w:jc w:val="center"/>
        <w:rPr>
          <w:i/>
          <w:sz w:val="16"/>
        </w:rPr>
      </w:pPr>
      <w:r>
        <w:rPr>
          <w:i/>
          <w:sz w:val="16"/>
        </w:rPr>
        <w:t>Las cuentas anuales abreviadas de la Sociedad, que forman una sola unidad, comprenden esta Cuenta de Pérdidas y Ganancias </w:t>
      </w:r>
      <w:r>
        <w:rPr>
          <w:i/>
          <w:sz w:val="16"/>
        </w:rPr>
        <w:t>Abreviada, el Balance de Situación abreviado, y la Memoria anual abreviada adjunta que consta de 11 notas</w:t>
      </w:r>
    </w:p>
    <w:p>
      <w:pPr>
        <w:spacing w:after="0" w:line="244" w:lineRule="auto"/>
        <w:jc w:val="center"/>
        <w:rPr>
          <w:sz w:val="16"/>
        </w:rPr>
        <w:sectPr>
          <w:pgSz w:w="11920" w:h="16850"/>
          <w:pgMar w:header="735" w:footer="891" w:top="1600" w:bottom="1080" w:left="1300" w:right="1300"/>
        </w:sectPr>
      </w:pPr>
    </w:p>
    <w:p>
      <w:pPr>
        <w:pStyle w:val="BodyText"/>
        <w:spacing w:before="11"/>
        <w:rPr>
          <w:i/>
          <w:sz w:val="13"/>
        </w:rPr>
      </w:pPr>
    </w:p>
    <w:p>
      <w:pPr>
        <w:pStyle w:val="Heading1"/>
        <w:spacing w:line="237" w:lineRule="auto" w:before="55"/>
        <w:ind w:left="2802" w:right="2260" w:hanging="547"/>
      </w:pPr>
      <w:r>
        <w:rPr/>
        <w:t>Memoria abreviada correspondiente al ejercicio finalizado el 31 de diciembre de 2024</w:t>
      </w:r>
    </w:p>
    <w:p>
      <w:pPr>
        <w:pStyle w:val="BodyText"/>
        <w:spacing w:before="11"/>
        <w:rPr>
          <w:b/>
          <w:sz w:val="31"/>
        </w:rPr>
      </w:pPr>
    </w:p>
    <w:p>
      <w:pPr>
        <w:pStyle w:val="ListParagraph"/>
        <w:numPr>
          <w:ilvl w:val="0"/>
          <w:numId w:val="1"/>
        </w:numPr>
        <w:tabs>
          <w:tab w:pos="971" w:val="left" w:leader="none"/>
          <w:tab w:pos="972" w:val="left" w:leader="none"/>
        </w:tabs>
        <w:spacing w:line="240" w:lineRule="auto" w:before="0" w:after="0"/>
        <w:ind w:left="971" w:right="0" w:hanging="569"/>
        <w:jc w:val="left"/>
        <w:rPr>
          <w:b/>
          <w:sz w:val="24"/>
        </w:rPr>
      </w:pPr>
      <w:r>
        <w:rPr>
          <w:b/>
          <w:sz w:val="24"/>
        </w:rPr>
        <w:t>Actividad de la</w:t>
      </w:r>
      <w:r>
        <w:rPr>
          <w:b/>
          <w:spacing w:val="3"/>
          <w:sz w:val="24"/>
        </w:rPr>
        <w:t> </w:t>
      </w:r>
      <w:r>
        <w:rPr>
          <w:b/>
          <w:sz w:val="24"/>
        </w:rPr>
        <w:t>empresa</w:t>
      </w:r>
    </w:p>
    <w:p>
      <w:pPr>
        <w:spacing w:line="302" w:lineRule="auto" w:before="157"/>
        <w:ind w:left="403" w:right="483" w:firstLine="0"/>
        <w:jc w:val="left"/>
        <w:rPr>
          <w:sz w:val="17"/>
        </w:rPr>
      </w:pPr>
      <w:r>
        <w:rPr>
          <w:b/>
          <w:w w:val="105"/>
          <w:sz w:val="17"/>
        </w:rPr>
        <w:t>MEDIOS DE COMUNICACIÓN MUNICIPALES DE LOS REALEJOS, Sociedad Limitada Unipersonal </w:t>
      </w:r>
      <w:r>
        <w:rPr>
          <w:w w:val="105"/>
          <w:sz w:val="17"/>
        </w:rPr>
        <w:t>(en adelante “la Sociedad”) se constituyó en Los Realejos 04 de marzo de 1997 como Sociedad Limitada.</w:t>
      </w:r>
    </w:p>
    <w:p>
      <w:pPr>
        <w:pStyle w:val="BodyText"/>
        <w:spacing w:line="304" w:lineRule="auto" w:before="115"/>
        <w:ind w:left="403" w:right="483"/>
      </w:pPr>
      <w:r>
        <w:rPr>
          <w:w w:val="105"/>
        </w:rPr>
        <w:t>Su domicilio social se encuentra establecido en Avenida Canarias, número 6, 38410 Los Realejos, Santa Cruz de Tenerife.</w:t>
      </w:r>
    </w:p>
    <w:p>
      <w:pPr>
        <w:pStyle w:val="BodyText"/>
        <w:spacing w:line="434" w:lineRule="auto" w:before="119"/>
        <w:ind w:left="403" w:right="483"/>
      </w:pPr>
      <w:r>
        <w:rPr>
          <w:w w:val="105"/>
        </w:rPr>
        <w:t>Inscrita en el Registro Mercantil de Santa Cruz de Tenerife en el Tomo 1469, Folio 74, Hola 14685. CIF B-38448064. La Sociedad desarrolla sus actividades en el término municipal de Los Realejos.</w:t>
      </w:r>
    </w:p>
    <w:p>
      <w:pPr>
        <w:pStyle w:val="BodyText"/>
        <w:spacing w:line="302" w:lineRule="auto" w:before="1"/>
        <w:ind w:left="403" w:right="483"/>
      </w:pPr>
      <w:r>
        <w:rPr>
          <w:w w:val="105"/>
        </w:rPr>
        <w:t>Constituye su objeto social : prestación del servicio público de radiodifusión sonora y de televisión local por ondas terrestres en el municipio de Los Realejos.</w:t>
      </w:r>
    </w:p>
    <w:p>
      <w:pPr>
        <w:pStyle w:val="BodyText"/>
        <w:spacing w:before="123"/>
        <w:ind w:left="403"/>
      </w:pPr>
      <w:r>
        <w:rPr>
          <w:w w:val="105"/>
        </w:rPr>
        <w:t>La actividad actual de la Sociedad coincide con su objeto social.</w:t>
      </w:r>
    </w:p>
    <w:p>
      <w:pPr>
        <w:pStyle w:val="BodyText"/>
        <w:spacing w:before="10"/>
        <w:rPr>
          <w:sz w:val="13"/>
        </w:rPr>
      </w:pPr>
    </w:p>
    <w:p>
      <w:pPr>
        <w:pStyle w:val="BodyText"/>
        <w:spacing w:line="302" w:lineRule="auto"/>
        <w:ind w:left="403" w:right="398"/>
        <w:jc w:val="both"/>
      </w:pPr>
      <w:r>
        <w:rPr>
          <w:w w:val="105"/>
        </w:rPr>
        <w:t>La Sociedad no participa en ninguna otra sociedad, pero </w:t>
      </w:r>
      <w:r>
        <w:rPr>
          <w:spacing w:val="3"/>
          <w:w w:val="105"/>
        </w:rPr>
        <w:t>sí </w:t>
      </w:r>
      <w:r>
        <w:rPr>
          <w:w w:val="105"/>
        </w:rPr>
        <w:t>tiene relación con otras entidades con las cuales  se</w:t>
      </w:r>
      <w:r>
        <w:rPr>
          <w:spacing w:val="40"/>
          <w:w w:val="105"/>
        </w:rPr>
        <w:t> </w:t>
      </w:r>
      <w:r>
        <w:rPr>
          <w:w w:val="105"/>
        </w:rPr>
        <w:t>pueda establecer una relación de grupo o asociada de acuerdo con los requisitos establecidos en el Art. 42 del</w:t>
      </w:r>
      <w:r>
        <w:rPr>
          <w:spacing w:val="40"/>
          <w:w w:val="105"/>
        </w:rPr>
        <w:t> </w:t>
      </w:r>
      <w:r>
        <w:rPr>
          <w:w w:val="105"/>
        </w:rPr>
        <w:t>Código de Comercio y en las Normas 13ª y 15ª </w:t>
      </w:r>
      <w:r>
        <w:rPr>
          <w:spacing w:val="2"/>
          <w:w w:val="105"/>
        </w:rPr>
        <w:t>de </w:t>
      </w:r>
      <w:r>
        <w:rPr>
          <w:w w:val="105"/>
        </w:rPr>
        <w:t>la Tercera Parte del Real Decreto 1515/2007 por el que </w:t>
      </w:r>
      <w:r>
        <w:rPr>
          <w:spacing w:val="4"/>
          <w:w w:val="105"/>
        </w:rPr>
        <w:t>se </w:t>
      </w:r>
      <w:r>
        <w:rPr>
          <w:w w:val="105"/>
        </w:rPr>
        <w:t>aprobó el Plan General de Contabilidad, debido a que el 100% del capital social pertenece al Excmo. Ayuntamiento de Los Realejos.</w:t>
      </w:r>
    </w:p>
    <w:p>
      <w:pPr>
        <w:pStyle w:val="BodyText"/>
        <w:spacing w:line="304" w:lineRule="auto" w:before="112"/>
        <w:ind w:left="403" w:right="410"/>
        <w:jc w:val="both"/>
      </w:pPr>
      <w:r>
        <w:rPr>
          <w:w w:val="105"/>
        </w:rPr>
        <w:t>La moneda funcional con la que opera la empresa es euro. Para la formulación de </w:t>
      </w:r>
      <w:r>
        <w:rPr>
          <w:spacing w:val="2"/>
          <w:w w:val="105"/>
        </w:rPr>
        <w:t>los </w:t>
      </w:r>
      <w:r>
        <w:rPr>
          <w:w w:val="105"/>
        </w:rPr>
        <w:t>estados financieros  en euros</w:t>
      </w:r>
      <w:r>
        <w:rPr>
          <w:spacing w:val="40"/>
          <w:w w:val="105"/>
        </w:rPr>
        <w:t> </w:t>
      </w:r>
      <w:r>
        <w:rPr>
          <w:w w:val="105"/>
        </w:rPr>
        <w:t>se han seguido los criterios establecidos en el Plan General</w:t>
      </w:r>
      <w:r>
        <w:rPr>
          <w:spacing w:val="28"/>
          <w:w w:val="105"/>
        </w:rPr>
        <w:t> </w:t>
      </w:r>
      <w:r>
        <w:rPr>
          <w:w w:val="105"/>
        </w:rPr>
        <w:t>Contable.</w:t>
      </w:r>
    </w:p>
    <w:p>
      <w:pPr>
        <w:pStyle w:val="BodyText"/>
        <w:spacing w:before="3"/>
        <w:rPr>
          <w:sz w:val="15"/>
        </w:rPr>
      </w:pPr>
    </w:p>
    <w:p>
      <w:pPr>
        <w:pStyle w:val="Heading1"/>
        <w:numPr>
          <w:ilvl w:val="0"/>
          <w:numId w:val="1"/>
        </w:numPr>
        <w:tabs>
          <w:tab w:pos="971" w:val="left" w:leader="none"/>
          <w:tab w:pos="972" w:val="left" w:leader="none"/>
        </w:tabs>
        <w:spacing w:line="240" w:lineRule="auto" w:before="0" w:after="0"/>
        <w:ind w:left="971" w:right="0" w:hanging="569"/>
        <w:jc w:val="left"/>
      </w:pPr>
      <w:r>
        <w:rPr/>
        <w:t>Bases de presentación de </w:t>
      </w:r>
      <w:r>
        <w:rPr>
          <w:spacing w:val="-3"/>
        </w:rPr>
        <w:t>las </w:t>
      </w:r>
      <w:r>
        <w:rPr/>
        <w:t>cuentas anuales</w:t>
      </w:r>
      <w:r>
        <w:rPr>
          <w:spacing w:val="9"/>
        </w:rPr>
        <w:t> </w:t>
      </w:r>
      <w:r>
        <w:rPr/>
        <w:t>abreviadas</w:t>
      </w:r>
    </w:p>
    <w:p>
      <w:pPr>
        <w:pStyle w:val="BodyText"/>
        <w:spacing w:before="2"/>
        <w:rPr>
          <w:b/>
          <w:sz w:val="22"/>
        </w:rPr>
      </w:pPr>
    </w:p>
    <w:p>
      <w:pPr>
        <w:pStyle w:val="Heading4"/>
        <w:numPr>
          <w:ilvl w:val="1"/>
          <w:numId w:val="1"/>
        </w:numPr>
        <w:tabs>
          <w:tab w:pos="729" w:val="left" w:leader="none"/>
        </w:tabs>
        <w:spacing w:line="240" w:lineRule="auto" w:before="1" w:after="0"/>
        <w:ind w:left="728" w:right="0" w:hanging="326"/>
        <w:jc w:val="left"/>
        <w:rPr>
          <w:i/>
        </w:rPr>
      </w:pPr>
      <w:r>
        <w:rPr>
          <w:i/>
          <w:w w:val="105"/>
        </w:rPr>
        <w:t>Imagen fiel.</w:t>
      </w:r>
    </w:p>
    <w:p>
      <w:pPr>
        <w:pStyle w:val="BodyText"/>
        <w:spacing w:before="4"/>
        <w:rPr>
          <w:b/>
          <w:i/>
          <w:sz w:val="14"/>
        </w:rPr>
      </w:pPr>
    </w:p>
    <w:p>
      <w:pPr>
        <w:pStyle w:val="BodyText"/>
        <w:spacing w:line="302" w:lineRule="auto"/>
        <w:ind w:left="403" w:right="406"/>
        <w:jc w:val="both"/>
      </w:pPr>
      <w:r>
        <w:rPr>
          <w:w w:val="105"/>
        </w:rPr>
        <w:t>Las cuentas anuales abreviadas del ejercicio 2024 adjuntas han sido formuladas por los administradores a partir de los registros contables de la Sociedad a 31 de diciembre de 2024 y en ellas se han aplicado los principios contables y criterios de valoración recogidos en el Real Decreto 1514/2007, por el que se aprueba el Plan General de Contabilidad, aplicando las modificaciones introducidas al mismo mediante el Real Decreto 1159/2010, de 17 de septiembre, y el Real Decreto 1/2021, de 12 de enero, y el resto de disposiciones legales vigentes en materia contable, con objeto de mostrar la imagen fiel del patrimonio, de la situación financiera y de los resultados de la Sociedad.</w:t>
      </w:r>
    </w:p>
    <w:p>
      <w:pPr>
        <w:pStyle w:val="BodyText"/>
        <w:spacing w:line="304" w:lineRule="auto" w:before="114"/>
        <w:ind w:left="403" w:right="411"/>
        <w:jc w:val="both"/>
      </w:pPr>
      <w:r>
        <w:rPr>
          <w:w w:val="105"/>
        </w:rPr>
        <w:t>No existen razones excepcionales por las que, para mostrar  la imagen fiel, no se hayan aplicado disposiciones</w:t>
      </w:r>
      <w:r>
        <w:rPr>
          <w:spacing w:val="40"/>
          <w:w w:val="105"/>
        </w:rPr>
        <w:t> </w:t>
      </w:r>
      <w:r>
        <w:rPr>
          <w:w w:val="105"/>
        </w:rPr>
        <w:t>legales en materia contable, información sobre el patrimonio, la situación financiera y los resultados de la</w:t>
      </w:r>
      <w:r>
        <w:rPr>
          <w:spacing w:val="14"/>
          <w:w w:val="105"/>
        </w:rPr>
        <w:t> </w:t>
      </w:r>
      <w:r>
        <w:rPr>
          <w:w w:val="105"/>
        </w:rPr>
        <w:t>empresa.</w:t>
      </w:r>
    </w:p>
    <w:p>
      <w:pPr>
        <w:pStyle w:val="BodyText"/>
        <w:spacing w:line="304" w:lineRule="auto" w:before="112"/>
        <w:ind w:left="403" w:right="410"/>
        <w:jc w:val="both"/>
      </w:pPr>
      <w:r>
        <w:rPr>
          <w:w w:val="105"/>
        </w:rPr>
        <w:t>En el caso de que sea necesario aportar informaciones complementarias, cuando la aplicación de las disposiciones legales no sea suficiente para mostrar la imagen fiel, se indicará su ubicación en la memoria.</w:t>
      </w:r>
    </w:p>
    <w:p>
      <w:pPr>
        <w:pStyle w:val="BodyText"/>
        <w:spacing w:line="302" w:lineRule="auto" w:before="112"/>
        <w:ind w:left="403" w:right="401"/>
        <w:jc w:val="both"/>
      </w:pPr>
      <w:r>
        <w:rPr>
          <w:w w:val="105"/>
        </w:rPr>
        <w:t>Las presentes cuentas anuales abreviadas se someterán a la aprobación por la Junta/Asamblea General Ordinaria de Accionistas/socios, estimándose que serán aprobadas sin modificación alguna.</w:t>
      </w:r>
    </w:p>
    <w:p>
      <w:pPr>
        <w:pStyle w:val="BodyText"/>
        <w:spacing w:before="123"/>
        <w:ind w:left="403"/>
        <w:jc w:val="both"/>
      </w:pPr>
      <w:r>
        <w:rPr>
          <w:w w:val="105"/>
        </w:rPr>
        <w:t>Las Cuentas Anuales del ejercicio anterior, fueron aprobadas por la Junta General Ordinaria, el 13 de junio de 2024.</w:t>
      </w:r>
    </w:p>
    <w:p>
      <w:pPr>
        <w:pStyle w:val="BodyText"/>
        <w:spacing w:before="9"/>
        <w:rPr>
          <w:sz w:val="13"/>
        </w:rPr>
      </w:pPr>
    </w:p>
    <w:p>
      <w:pPr>
        <w:pStyle w:val="BodyText"/>
        <w:spacing w:line="302" w:lineRule="auto"/>
        <w:ind w:left="403" w:right="409"/>
        <w:jc w:val="both"/>
      </w:pPr>
      <w:r>
        <w:rPr>
          <w:w w:val="105"/>
        </w:rPr>
        <w:t>En virtud de la Disposición transitoria quinta del Real Decreto 1514/2007, la Sociedad sigue aplicando, en lo que </w:t>
      </w:r>
      <w:r>
        <w:rPr>
          <w:spacing w:val="2"/>
          <w:w w:val="105"/>
        </w:rPr>
        <w:t>no </w:t>
      </w:r>
      <w:r>
        <w:rPr>
          <w:w w:val="105"/>
        </w:rPr>
        <w:t>se opone a la legislación mercantil actual, la Adaptación Sectorial del Plan General </w:t>
      </w:r>
      <w:r>
        <w:rPr>
          <w:spacing w:val="2"/>
          <w:w w:val="105"/>
        </w:rPr>
        <w:t>de</w:t>
      </w:r>
      <w:r>
        <w:rPr>
          <w:spacing w:val="15"/>
          <w:w w:val="105"/>
        </w:rPr>
        <w:t> </w:t>
      </w:r>
      <w:r>
        <w:rPr>
          <w:w w:val="105"/>
        </w:rPr>
        <w:t>Contabilidad.</w:t>
      </w:r>
    </w:p>
    <w:p>
      <w:pPr>
        <w:pStyle w:val="BodyText"/>
        <w:spacing w:before="5"/>
        <w:rPr>
          <w:sz w:val="19"/>
        </w:rPr>
      </w:pPr>
    </w:p>
    <w:p>
      <w:pPr>
        <w:pStyle w:val="Heading4"/>
        <w:numPr>
          <w:ilvl w:val="1"/>
          <w:numId w:val="1"/>
        </w:numPr>
        <w:tabs>
          <w:tab w:pos="729" w:val="left" w:leader="none"/>
        </w:tabs>
        <w:spacing w:line="240" w:lineRule="auto" w:before="0" w:after="0"/>
        <w:ind w:left="728" w:right="0" w:hanging="326"/>
        <w:jc w:val="left"/>
        <w:rPr>
          <w:i/>
        </w:rPr>
      </w:pPr>
      <w:r>
        <w:rPr>
          <w:i/>
          <w:w w:val="105"/>
        </w:rPr>
        <w:t>Principios contables </w:t>
      </w:r>
      <w:r>
        <w:rPr>
          <w:i/>
          <w:spacing w:val="2"/>
          <w:w w:val="105"/>
        </w:rPr>
        <w:t>no </w:t>
      </w:r>
      <w:r>
        <w:rPr>
          <w:i/>
          <w:w w:val="105"/>
        </w:rPr>
        <w:t>obligatorios</w:t>
      </w:r>
      <w:r>
        <w:rPr>
          <w:i/>
          <w:spacing w:val="3"/>
          <w:w w:val="105"/>
        </w:rPr>
        <w:t> </w:t>
      </w:r>
      <w:r>
        <w:rPr>
          <w:i/>
          <w:w w:val="105"/>
        </w:rPr>
        <w:t>aplicados.</w:t>
      </w:r>
    </w:p>
    <w:p>
      <w:pPr>
        <w:pStyle w:val="BodyText"/>
        <w:spacing w:before="4"/>
        <w:rPr>
          <w:b/>
          <w:i/>
          <w:sz w:val="14"/>
        </w:rPr>
      </w:pPr>
    </w:p>
    <w:p>
      <w:pPr>
        <w:pStyle w:val="BodyText"/>
        <w:spacing w:before="1"/>
        <w:ind w:left="403"/>
        <w:jc w:val="both"/>
      </w:pPr>
      <w:r>
        <w:rPr>
          <w:w w:val="105"/>
        </w:rPr>
        <w:t>Se han aplicado los principios contables obligatorios.</w:t>
      </w:r>
    </w:p>
    <w:p>
      <w:pPr>
        <w:spacing w:after="0"/>
        <w:jc w:val="both"/>
        <w:sectPr>
          <w:pgSz w:w="11920" w:h="16850"/>
          <w:pgMar w:header="735" w:footer="891" w:top="1600" w:bottom="1080" w:left="1300" w:right="1300"/>
        </w:sectPr>
      </w:pPr>
    </w:p>
    <w:p>
      <w:pPr>
        <w:pStyle w:val="Heading4"/>
        <w:numPr>
          <w:ilvl w:val="1"/>
          <w:numId w:val="1"/>
        </w:numPr>
        <w:tabs>
          <w:tab w:pos="729" w:val="left" w:leader="none"/>
        </w:tabs>
        <w:spacing w:line="240" w:lineRule="auto" w:before="147" w:after="0"/>
        <w:ind w:left="728" w:right="0" w:hanging="326"/>
        <w:jc w:val="left"/>
        <w:rPr>
          <w:i/>
        </w:rPr>
      </w:pPr>
      <w:r>
        <w:rPr>
          <w:i/>
          <w:w w:val="105"/>
        </w:rPr>
        <w:t>Aspectos críticos </w:t>
      </w:r>
      <w:r>
        <w:rPr>
          <w:i/>
          <w:spacing w:val="2"/>
          <w:w w:val="105"/>
        </w:rPr>
        <w:t>de </w:t>
      </w:r>
      <w:r>
        <w:rPr>
          <w:i/>
          <w:w w:val="105"/>
        </w:rPr>
        <w:t>la valoración y estimación de </w:t>
      </w:r>
      <w:r>
        <w:rPr>
          <w:i/>
          <w:spacing w:val="2"/>
          <w:w w:val="105"/>
        </w:rPr>
        <w:t>la</w:t>
      </w:r>
      <w:r>
        <w:rPr>
          <w:i/>
          <w:spacing w:val="1"/>
          <w:w w:val="105"/>
        </w:rPr>
        <w:t> </w:t>
      </w:r>
      <w:r>
        <w:rPr>
          <w:i/>
          <w:w w:val="105"/>
        </w:rPr>
        <w:t>incertidumbre.</w:t>
      </w:r>
    </w:p>
    <w:p>
      <w:pPr>
        <w:pStyle w:val="BodyText"/>
        <w:spacing w:before="4"/>
        <w:rPr>
          <w:b/>
          <w:i/>
          <w:sz w:val="14"/>
        </w:rPr>
      </w:pPr>
    </w:p>
    <w:p>
      <w:pPr>
        <w:pStyle w:val="BodyText"/>
        <w:spacing w:line="302" w:lineRule="auto"/>
        <w:ind w:left="403" w:right="407"/>
        <w:jc w:val="both"/>
      </w:pPr>
      <w:r>
        <w:rPr>
          <w:w w:val="105"/>
        </w:rPr>
        <w:t>Las cuentas anuales abreviadas del ejercicio 2024 han sido formuladas por el órgano </w:t>
      </w:r>
      <w:r>
        <w:rPr>
          <w:spacing w:val="2"/>
          <w:w w:val="105"/>
        </w:rPr>
        <w:t>de </w:t>
      </w:r>
      <w:r>
        <w:rPr>
          <w:w w:val="105"/>
        </w:rPr>
        <w:t>administración asumiendo  el principio de empresa en funcionamiento, es decir, asumiendo que la actividad de la Sociedad continua. </w:t>
      </w:r>
      <w:r>
        <w:rPr>
          <w:spacing w:val="2"/>
          <w:w w:val="105"/>
        </w:rPr>
        <w:t>No </w:t>
      </w:r>
      <w:r>
        <w:rPr>
          <w:w w:val="105"/>
        </w:rPr>
        <w:t>obstante, existen algunas circunstancias que dificultan la capacidad de la Sociedad para seguir como empresa en funcionamiento, siendo compensadas por otras circunstancias que mitigan las dificultades originadas por aquellas.   A continuación </w:t>
      </w:r>
      <w:r>
        <w:rPr>
          <w:spacing w:val="4"/>
          <w:w w:val="105"/>
        </w:rPr>
        <w:t>se </w:t>
      </w:r>
      <w:r>
        <w:rPr>
          <w:w w:val="105"/>
        </w:rPr>
        <w:t>enumeran ambos tipos de circunstancias o</w:t>
      </w:r>
      <w:r>
        <w:rPr>
          <w:spacing w:val="7"/>
          <w:w w:val="105"/>
        </w:rPr>
        <w:t> </w:t>
      </w:r>
      <w:r>
        <w:rPr>
          <w:w w:val="105"/>
        </w:rPr>
        <w:t>factores:</w:t>
      </w:r>
    </w:p>
    <w:p>
      <w:pPr>
        <w:pStyle w:val="BodyText"/>
        <w:spacing w:before="119"/>
        <w:ind w:left="403"/>
        <w:jc w:val="both"/>
      </w:pPr>
      <w:r>
        <w:rPr>
          <w:w w:val="105"/>
        </w:rPr>
        <w:t>Factores causantes de duda sobre la capacidad de la Sociedad para continuar con su actividad:</w:t>
      </w:r>
    </w:p>
    <w:p>
      <w:pPr>
        <w:pStyle w:val="BodyText"/>
        <w:spacing w:before="10"/>
        <w:rPr>
          <w:sz w:val="13"/>
        </w:rPr>
      </w:pPr>
    </w:p>
    <w:p>
      <w:pPr>
        <w:pStyle w:val="ListParagraph"/>
        <w:numPr>
          <w:ilvl w:val="2"/>
          <w:numId w:val="1"/>
        </w:numPr>
        <w:tabs>
          <w:tab w:pos="1113" w:val="left" w:leader="none"/>
          <w:tab w:pos="1114" w:val="left" w:leader="none"/>
        </w:tabs>
        <w:spacing w:line="304" w:lineRule="auto" w:before="0" w:after="0"/>
        <w:ind w:left="1127" w:right="393" w:hanging="362"/>
        <w:jc w:val="left"/>
        <w:rPr>
          <w:sz w:val="17"/>
        </w:rPr>
      </w:pPr>
      <w:r>
        <w:rPr>
          <w:w w:val="105"/>
          <w:sz w:val="17"/>
        </w:rPr>
        <w:t>Se han obtenido resultados negativos en el ejercicio actual y los fondos propios son negativos a 31 de diciembre de 2024, generando un desequilibrio patrimonial según la Ley de Sociedades de</w:t>
      </w:r>
      <w:r>
        <w:rPr>
          <w:spacing w:val="27"/>
          <w:w w:val="105"/>
          <w:sz w:val="17"/>
        </w:rPr>
        <w:t> </w:t>
      </w:r>
      <w:r>
        <w:rPr>
          <w:w w:val="105"/>
          <w:sz w:val="17"/>
        </w:rPr>
        <w:t>Capital.</w:t>
      </w:r>
    </w:p>
    <w:p>
      <w:pPr>
        <w:pStyle w:val="BodyText"/>
        <w:spacing w:before="112"/>
        <w:ind w:left="403"/>
        <w:jc w:val="both"/>
      </w:pPr>
      <w:r>
        <w:rPr>
          <w:w w:val="105"/>
        </w:rPr>
        <w:t>Factores que mitigan la duda sobre la capacidad de la Sociedad para continuar con s actividad:</w:t>
      </w:r>
    </w:p>
    <w:p>
      <w:pPr>
        <w:pStyle w:val="BodyText"/>
        <w:spacing w:before="4"/>
        <w:rPr>
          <w:sz w:val="14"/>
        </w:rPr>
      </w:pPr>
    </w:p>
    <w:p>
      <w:pPr>
        <w:pStyle w:val="ListParagraph"/>
        <w:numPr>
          <w:ilvl w:val="2"/>
          <w:numId w:val="1"/>
        </w:numPr>
        <w:tabs>
          <w:tab w:pos="1113" w:val="left" w:leader="none"/>
          <w:tab w:pos="1114" w:val="left" w:leader="none"/>
        </w:tabs>
        <w:spacing w:line="304" w:lineRule="auto" w:before="1" w:after="0"/>
        <w:ind w:left="1127" w:right="404" w:hanging="362"/>
        <w:jc w:val="left"/>
        <w:rPr>
          <w:sz w:val="17"/>
        </w:rPr>
      </w:pPr>
      <w:r>
        <w:rPr>
          <w:w w:val="105"/>
          <w:sz w:val="17"/>
        </w:rPr>
        <w:t>La Sociedad cuenta con el apoyo económico de su Socio Único que anualmente concede subvenciones </w:t>
      </w:r>
      <w:r>
        <w:rPr>
          <w:spacing w:val="2"/>
          <w:w w:val="105"/>
          <w:sz w:val="17"/>
        </w:rPr>
        <w:t>de </w:t>
      </w:r>
      <w:r>
        <w:rPr>
          <w:w w:val="105"/>
          <w:sz w:val="17"/>
        </w:rPr>
        <w:t>explotación para la financiación </w:t>
      </w:r>
      <w:r>
        <w:rPr>
          <w:spacing w:val="2"/>
          <w:w w:val="105"/>
          <w:sz w:val="17"/>
        </w:rPr>
        <w:t>de </w:t>
      </w:r>
      <w:r>
        <w:rPr>
          <w:w w:val="105"/>
          <w:sz w:val="17"/>
        </w:rPr>
        <w:t>los gastos corrientes de su</w:t>
      </w:r>
      <w:r>
        <w:rPr>
          <w:spacing w:val="9"/>
          <w:w w:val="105"/>
          <w:sz w:val="17"/>
        </w:rPr>
        <w:t> </w:t>
      </w:r>
      <w:r>
        <w:rPr>
          <w:w w:val="105"/>
          <w:sz w:val="17"/>
        </w:rPr>
        <w:t>actividad.</w:t>
      </w:r>
    </w:p>
    <w:p>
      <w:pPr>
        <w:pStyle w:val="ListParagraph"/>
        <w:numPr>
          <w:ilvl w:val="2"/>
          <w:numId w:val="1"/>
        </w:numPr>
        <w:tabs>
          <w:tab w:pos="1113" w:val="left" w:leader="none"/>
          <w:tab w:pos="1114" w:val="left" w:leader="none"/>
        </w:tabs>
        <w:spacing w:line="304" w:lineRule="auto" w:before="111" w:after="0"/>
        <w:ind w:left="1127" w:right="407" w:hanging="362"/>
        <w:jc w:val="left"/>
        <w:rPr>
          <w:sz w:val="17"/>
        </w:rPr>
      </w:pPr>
      <w:r>
        <w:rPr>
          <w:w w:val="105"/>
          <w:sz w:val="17"/>
        </w:rPr>
        <w:t>El órgano de administración tiene previsto adoptar los acuerdos necesarios para reestablecer el equilibrio patrimonial conforme el artículo 363 y siguientes </w:t>
      </w:r>
      <w:r>
        <w:rPr>
          <w:spacing w:val="2"/>
          <w:w w:val="105"/>
          <w:sz w:val="17"/>
        </w:rPr>
        <w:t>de </w:t>
      </w:r>
      <w:r>
        <w:rPr>
          <w:w w:val="105"/>
          <w:sz w:val="17"/>
        </w:rPr>
        <w:t>la Ley </w:t>
      </w:r>
      <w:r>
        <w:rPr>
          <w:spacing w:val="2"/>
          <w:w w:val="105"/>
          <w:sz w:val="17"/>
        </w:rPr>
        <w:t>de </w:t>
      </w:r>
      <w:r>
        <w:rPr>
          <w:w w:val="105"/>
          <w:sz w:val="17"/>
        </w:rPr>
        <w:t>Sociedades </w:t>
      </w:r>
      <w:r>
        <w:rPr>
          <w:spacing w:val="2"/>
          <w:w w:val="105"/>
          <w:sz w:val="17"/>
        </w:rPr>
        <w:t>de</w:t>
      </w:r>
      <w:r>
        <w:rPr>
          <w:spacing w:val="-1"/>
          <w:w w:val="105"/>
          <w:sz w:val="17"/>
        </w:rPr>
        <w:t> </w:t>
      </w:r>
      <w:r>
        <w:rPr>
          <w:w w:val="105"/>
          <w:sz w:val="17"/>
        </w:rPr>
        <w:t>Capital.</w:t>
      </w:r>
    </w:p>
    <w:p>
      <w:pPr>
        <w:pStyle w:val="BodyText"/>
        <w:spacing w:before="6"/>
        <w:rPr>
          <w:sz w:val="18"/>
        </w:rPr>
      </w:pPr>
    </w:p>
    <w:p>
      <w:pPr>
        <w:pStyle w:val="Heading4"/>
        <w:numPr>
          <w:ilvl w:val="1"/>
          <w:numId w:val="1"/>
        </w:numPr>
        <w:tabs>
          <w:tab w:pos="729" w:val="left" w:leader="none"/>
        </w:tabs>
        <w:spacing w:line="240" w:lineRule="auto" w:before="0" w:after="0"/>
        <w:ind w:left="728" w:right="0" w:hanging="326"/>
        <w:jc w:val="left"/>
        <w:rPr>
          <w:i/>
        </w:rPr>
      </w:pPr>
      <w:r>
        <w:rPr>
          <w:i/>
          <w:w w:val="105"/>
        </w:rPr>
        <w:t>Comparación de </w:t>
      </w:r>
      <w:r>
        <w:rPr>
          <w:i/>
          <w:spacing w:val="2"/>
          <w:w w:val="105"/>
        </w:rPr>
        <w:t>la</w:t>
      </w:r>
      <w:r>
        <w:rPr>
          <w:i/>
          <w:spacing w:val="-2"/>
          <w:w w:val="105"/>
        </w:rPr>
        <w:t> </w:t>
      </w:r>
      <w:r>
        <w:rPr>
          <w:i/>
          <w:w w:val="105"/>
        </w:rPr>
        <w:t>información.</w:t>
      </w:r>
    </w:p>
    <w:p>
      <w:pPr>
        <w:pStyle w:val="BodyText"/>
        <w:spacing w:before="4"/>
        <w:rPr>
          <w:b/>
          <w:i/>
          <w:sz w:val="14"/>
        </w:rPr>
      </w:pPr>
    </w:p>
    <w:p>
      <w:pPr>
        <w:pStyle w:val="BodyText"/>
        <w:spacing w:line="304" w:lineRule="auto" w:before="1"/>
        <w:ind w:left="403" w:right="392"/>
        <w:jc w:val="both"/>
      </w:pPr>
      <w:r>
        <w:rPr>
          <w:w w:val="105"/>
        </w:rPr>
        <w:t>Las Cuentas Anuales abreviadas presentan a efectos comparativos, con cada una de las partidas del balance de situación, de la cuenta de pérdidas y ganancias, además de las cifras del ejercicio 2024, las correspondientes al ejercicio anterior. Asimismo, la información contenida en esta memoria referida al ejercicio 2024 se presenta, a efectos comparativos con la información del ejercicio 2023.</w:t>
      </w:r>
    </w:p>
    <w:p>
      <w:pPr>
        <w:pStyle w:val="BodyText"/>
        <w:spacing w:before="109"/>
        <w:ind w:left="403"/>
        <w:jc w:val="both"/>
      </w:pPr>
      <w:r>
        <w:rPr>
          <w:w w:val="105"/>
        </w:rPr>
        <w:t>La Sociedad no está obligada a auditar las Cuentas Anuales de los ejercicios 2024 y 2023.</w:t>
      </w:r>
    </w:p>
    <w:p>
      <w:pPr>
        <w:pStyle w:val="BodyText"/>
        <w:spacing w:before="5"/>
        <w:rPr>
          <w:sz w:val="14"/>
        </w:rPr>
      </w:pPr>
    </w:p>
    <w:p>
      <w:pPr>
        <w:pStyle w:val="BodyText"/>
        <w:spacing w:line="302" w:lineRule="auto"/>
        <w:ind w:left="403" w:right="406"/>
        <w:jc w:val="both"/>
      </w:pPr>
      <w:r>
        <w:rPr>
          <w:w w:val="105"/>
        </w:rPr>
        <w:t>La Sociedad no presenta el Estado de Cambios en el Patrimonio Neto, el Estado </w:t>
      </w:r>
      <w:r>
        <w:rPr>
          <w:spacing w:val="2"/>
          <w:w w:val="105"/>
        </w:rPr>
        <w:t>de </w:t>
      </w:r>
      <w:r>
        <w:rPr>
          <w:w w:val="105"/>
        </w:rPr>
        <w:t>Flujos </w:t>
      </w:r>
      <w:r>
        <w:rPr>
          <w:spacing w:val="2"/>
          <w:w w:val="105"/>
        </w:rPr>
        <w:t>de </w:t>
      </w:r>
      <w:r>
        <w:rPr>
          <w:w w:val="105"/>
        </w:rPr>
        <w:t>Efectivo, ni el Informe de Gestión al </w:t>
      </w:r>
      <w:r>
        <w:rPr>
          <w:spacing w:val="2"/>
          <w:w w:val="105"/>
        </w:rPr>
        <w:t>no </w:t>
      </w:r>
      <w:r>
        <w:rPr>
          <w:w w:val="105"/>
        </w:rPr>
        <w:t>tener obligación, al presentar cuentas anuales</w:t>
      </w:r>
      <w:r>
        <w:rPr>
          <w:spacing w:val="13"/>
          <w:w w:val="105"/>
        </w:rPr>
        <w:t> </w:t>
      </w:r>
      <w:r>
        <w:rPr>
          <w:w w:val="105"/>
        </w:rPr>
        <w:t>abreviadas.</w:t>
      </w:r>
    </w:p>
    <w:p>
      <w:pPr>
        <w:pStyle w:val="BodyText"/>
        <w:spacing w:before="9"/>
        <w:rPr>
          <w:sz w:val="18"/>
        </w:rPr>
      </w:pPr>
    </w:p>
    <w:p>
      <w:pPr>
        <w:pStyle w:val="Heading4"/>
        <w:numPr>
          <w:ilvl w:val="1"/>
          <w:numId w:val="1"/>
        </w:numPr>
        <w:tabs>
          <w:tab w:pos="729" w:val="left" w:leader="none"/>
        </w:tabs>
        <w:spacing w:line="240" w:lineRule="auto" w:before="0" w:after="0"/>
        <w:ind w:left="728" w:right="0" w:hanging="326"/>
        <w:jc w:val="left"/>
        <w:rPr>
          <w:i/>
        </w:rPr>
      </w:pPr>
      <w:r>
        <w:rPr>
          <w:i/>
          <w:w w:val="105"/>
        </w:rPr>
        <w:t>Elementos recogidos en varias</w:t>
      </w:r>
      <w:r>
        <w:rPr>
          <w:i/>
          <w:spacing w:val="5"/>
          <w:w w:val="105"/>
        </w:rPr>
        <w:t> </w:t>
      </w:r>
      <w:r>
        <w:rPr>
          <w:i/>
          <w:w w:val="105"/>
        </w:rPr>
        <w:t>partidas.</w:t>
      </w:r>
    </w:p>
    <w:p>
      <w:pPr>
        <w:pStyle w:val="BodyText"/>
        <w:rPr>
          <w:b/>
          <w:i/>
          <w:sz w:val="15"/>
        </w:rPr>
      </w:pPr>
    </w:p>
    <w:p>
      <w:pPr>
        <w:pStyle w:val="BodyText"/>
        <w:ind w:left="403"/>
        <w:jc w:val="both"/>
      </w:pPr>
      <w:r>
        <w:rPr>
          <w:w w:val="105"/>
        </w:rPr>
        <w:t>No se presentan elementos patrimoniales registrados en dos o más partidas del balance.</w:t>
      </w:r>
    </w:p>
    <w:p>
      <w:pPr>
        <w:pStyle w:val="BodyText"/>
        <w:spacing w:before="1"/>
        <w:rPr>
          <w:sz w:val="23"/>
        </w:rPr>
      </w:pPr>
    </w:p>
    <w:p>
      <w:pPr>
        <w:pStyle w:val="Heading4"/>
        <w:numPr>
          <w:ilvl w:val="1"/>
          <w:numId w:val="1"/>
        </w:numPr>
        <w:tabs>
          <w:tab w:pos="729" w:val="left" w:leader="none"/>
        </w:tabs>
        <w:spacing w:line="240" w:lineRule="auto" w:before="1" w:after="0"/>
        <w:ind w:left="728" w:right="0" w:hanging="326"/>
        <w:jc w:val="left"/>
        <w:rPr>
          <w:i/>
        </w:rPr>
      </w:pPr>
      <w:r>
        <w:rPr>
          <w:i/>
          <w:w w:val="105"/>
        </w:rPr>
        <w:t>Cambios en criterios</w:t>
      </w:r>
      <w:r>
        <w:rPr>
          <w:i/>
          <w:spacing w:val="3"/>
          <w:w w:val="105"/>
        </w:rPr>
        <w:t> </w:t>
      </w:r>
      <w:r>
        <w:rPr>
          <w:i/>
          <w:w w:val="105"/>
        </w:rPr>
        <w:t>contables.</w:t>
      </w:r>
    </w:p>
    <w:p>
      <w:pPr>
        <w:pStyle w:val="BodyText"/>
        <w:spacing w:before="4"/>
        <w:rPr>
          <w:b/>
          <w:i/>
          <w:sz w:val="14"/>
        </w:rPr>
      </w:pPr>
    </w:p>
    <w:p>
      <w:pPr>
        <w:pStyle w:val="BodyText"/>
        <w:spacing w:line="302" w:lineRule="auto"/>
        <w:ind w:left="403" w:right="399"/>
        <w:jc w:val="both"/>
      </w:pPr>
      <w:r>
        <w:rPr>
          <w:w w:val="105"/>
        </w:rPr>
        <w:t>Durante</w:t>
      </w:r>
      <w:r>
        <w:rPr>
          <w:spacing w:val="-7"/>
          <w:w w:val="105"/>
        </w:rPr>
        <w:t> </w:t>
      </w:r>
      <w:r>
        <w:rPr>
          <w:w w:val="105"/>
        </w:rPr>
        <w:t>el</w:t>
      </w:r>
      <w:r>
        <w:rPr>
          <w:spacing w:val="-9"/>
          <w:w w:val="105"/>
        </w:rPr>
        <w:t> </w:t>
      </w:r>
      <w:r>
        <w:rPr>
          <w:spacing w:val="-3"/>
          <w:w w:val="105"/>
        </w:rPr>
        <w:t>ejercicio</w:t>
      </w:r>
      <w:r>
        <w:rPr>
          <w:spacing w:val="-9"/>
          <w:w w:val="105"/>
        </w:rPr>
        <w:t> </w:t>
      </w:r>
      <w:r>
        <w:rPr>
          <w:w w:val="105"/>
        </w:rPr>
        <w:t>2024</w:t>
      </w:r>
      <w:r>
        <w:rPr>
          <w:spacing w:val="-8"/>
          <w:w w:val="105"/>
        </w:rPr>
        <w:t> </w:t>
      </w:r>
      <w:r>
        <w:rPr>
          <w:w w:val="105"/>
        </w:rPr>
        <w:t>y</w:t>
      </w:r>
      <w:r>
        <w:rPr>
          <w:spacing w:val="-5"/>
          <w:w w:val="105"/>
        </w:rPr>
        <w:t> </w:t>
      </w:r>
      <w:r>
        <w:rPr>
          <w:w w:val="105"/>
        </w:rPr>
        <w:t>2023</w:t>
      </w:r>
      <w:r>
        <w:rPr>
          <w:spacing w:val="-8"/>
          <w:w w:val="105"/>
        </w:rPr>
        <w:t> </w:t>
      </w:r>
      <w:r>
        <w:rPr>
          <w:w w:val="105"/>
        </w:rPr>
        <w:t>no</w:t>
      </w:r>
      <w:r>
        <w:rPr>
          <w:spacing w:val="-5"/>
          <w:w w:val="105"/>
        </w:rPr>
        <w:t> </w:t>
      </w:r>
      <w:r>
        <w:rPr>
          <w:w w:val="105"/>
        </w:rPr>
        <w:t>se</w:t>
      </w:r>
      <w:r>
        <w:rPr>
          <w:spacing w:val="-13"/>
          <w:w w:val="105"/>
        </w:rPr>
        <w:t> </w:t>
      </w:r>
      <w:r>
        <w:rPr>
          <w:w w:val="105"/>
        </w:rPr>
        <w:t>han</w:t>
      </w:r>
      <w:r>
        <w:rPr>
          <w:spacing w:val="-4"/>
          <w:w w:val="105"/>
        </w:rPr>
        <w:t> </w:t>
      </w:r>
      <w:r>
        <w:rPr>
          <w:spacing w:val="-3"/>
          <w:w w:val="105"/>
        </w:rPr>
        <w:t>producido</w:t>
      </w:r>
      <w:r>
        <w:rPr>
          <w:spacing w:val="-12"/>
          <w:w w:val="105"/>
        </w:rPr>
        <w:t> </w:t>
      </w:r>
      <w:r>
        <w:rPr>
          <w:w w:val="105"/>
        </w:rPr>
        <w:t>cambios</w:t>
      </w:r>
      <w:r>
        <w:rPr>
          <w:spacing w:val="-8"/>
          <w:w w:val="105"/>
        </w:rPr>
        <w:t> </w:t>
      </w:r>
      <w:r>
        <w:rPr>
          <w:spacing w:val="-3"/>
          <w:w w:val="105"/>
        </w:rPr>
        <w:t>significativos</w:t>
      </w:r>
      <w:r>
        <w:rPr>
          <w:spacing w:val="-9"/>
          <w:w w:val="105"/>
        </w:rPr>
        <w:t> </w:t>
      </w:r>
      <w:r>
        <w:rPr>
          <w:w w:val="105"/>
        </w:rPr>
        <w:t>de</w:t>
      </w:r>
      <w:r>
        <w:rPr>
          <w:spacing w:val="-7"/>
          <w:w w:val="105"/>
        </w:rPr>
        <w:t> </w:t>
      </w:r>
      <w:r>
        <w:rPr>
          <w:spacing w:val="-3"/>
          <w:w w:val="105"/>
        </w:rPr>
        <w:t>criterios</w:t>
      </w:r>
      <w:r>
        <w:rPr>
          <w:spacing w:val="-8"/>
          <w:w w:val="105"/>
        </w:rPr>
        <w:t> </w:t>
      </w:r>
      <w:r>
        <w:rPr>
          <w:w w:val="105"/>
        </w:rPr>
        <w:t>contables</w:t>
      </w:r>
      <w:r>
        <w:rPr>
          <w:spacing w:val="-9"/>
          <w:w w:val="105"/>
        </w:rPr>
        <w:t> </w:t>
      </w:r>
      <w:r>
        <w:rPr>
          <w:spacing w:val="-3"/>
          <w:w w:val="105"/>
        </w:rPr>
        <w:t>respecto</w:t>
      </w:r>
      <w:r>
        <w:rPr>
          <w:spacing w:val="-5"/>
          <w:w w:val="105"/>
        </w:rPr>
        <w:t> </w:t>
      </w:r>
      <w:r>
        <w:rPr>
          <w:w w:val="105"/>
        </w:rPr>
        <w:t>a</w:t>
      </w:r>
      <w:r>
        <w:rPr>
          <w:spacing w:val="-10"/>
          <w:w w:val="105"/>
        </w:rPr>
        <w:t> </w:t>
      </w:r>
      <w:r>
        <w:rPr>
          <w:spacing w:val="-3"/>
          <w:w w:val="105"/>
        </w:rPr>
        <w:t>los</w:t>
      </w:r>
      <w:r>
        <w:rPr>
          <w:spacing w:val="-8"/>
          <w:w w:val="105"/>
        </w:rPr>
        <w:t> </w:t>
      </w:r>
      <w:r>
        <w:rPr>
          <w:w w:val="105"/>
        </w:rPr>
        <w:t>criterios aplicados en </w:t>
      </w:r>
      <w:r>
        <w:rPr>
          <w:spacing w:val="-6"/>
          <w:w w:val="105"/>
        </w:rPr>
        <w:t>el </w:t>
      </w:r>
      <w:r>
        <w:rPr>
          <w:spacing w:val="-4"/>
          <w:w w:val="105"/>
        </w:rPr>
        <w:t>ejercicio</w:t>
      </w:r>
      <w:r>
        <w:rPr>
          <w:spacing w:val="-2"/>
          <w:w w:val="105"/>
        </w:rPr>
        <w:t> </w:t>
      </w:r>
      <w:r>
        <w:rPr>
          <w:w w:val="105"/>
        </w:rPr>
        <w:t>anterior.</w:t>
      </w:r>
    </w:p>
    <w:p>
      <w:pPr>
        <w:pStyle w:val="BodyText"/>
        <w:spacing w:before="5"/>
        <w:rPr>
          <w:sz w:val="19"/>
        </w:rPr>
      </w:pPr>
    </w:p>
    <w:p>
      <w:pPr>
        <w:pStyle w:val="Heading4"/>
        <w:numPr>
          <w:ilvl w:val="1"/>
          <w:numId w:val="1"/>
        </w:numPr>
        <w:tabs>
          <w:tab w:pos="729" w:val="left" w:leader="none"/>
        </w:tabs>
        <w:spacing w:line="240" w:lineRule="auto" w:before="0" w:after="0"/>
        <w:ind w:left="728" w:right="0" w:hanging="326"/>
        <w:jc w:val="left"/>
        <w:rPr>
          <w:i/>
        </w:rPr>
      </w:pPr>
      <w:r>
        <w:rPr>
          <w:i/>
          <w:w w:val="105"/>
        </w:rPr>
        <w:t>Corrección de</w:t>
      </w:r>
      <w:r>
        <w:rPr>
          <w:i/>
          <w:spacing w:val="6"/>
          <w:w w:val="105"/>
        </w:rPr>
        <w:t> </w:t>
      </w:r>
      <w:r>
        <w:rPr>
          <w:i/>
          <w:w w:val="105"/>
        </w:rPr>
        <w:t>errores.</w:t>
      </w:r>
    </w:p>
    <w:p>
      <w:pPr>
        <w:pStyle w:val="BodyText"/>
        <w:spacing w:before="4"/>
        <w:rPr>
          <w:b/>
          <w:i/>
          <w:sz w:val="14"/>
        </w:rPr>
      </w:pPr>
    </w:p>
    <w:p>
      <w:pPr>
        <w:pStyle w:val="BodyText"/>
        <w:spacing w:line="304" w:lineRule="auto"/>
        <w:ind w:left="403" w:right="404"/>
        <w:jc w:val="both"/>
      </w:pPr>
      <w:r>
        <w:rPr>
          <w:w w:val="105"/>
        </w:rPr>
        <w:t>Las Cuentas Anuales abreviadas del ejercicio 2024 y 2023 no incluyen ajustes realizados como consecuencia de errores detectados en el ejercicio.</w:t>
      </w:r>
    </w:p>
    <w:p>
      <w:pPr>
        <w:pStyle w:val="BodyText"/>
        <w:spacing w:before="1"/>
        <w:rPr>
          <w:sz w:val="19"/>
        </w:rPr>
      </w:pPr>
    </w:p>
    <w:p>
      <w:pPr>
        <w:pStyle w:val="Heading4"/>
        <w:numPr>
          <w:ilvl w:val="1"/>
          <w:numId w:val="1"/>
        </w:numPr>
        <w:tabs>
          <w:tab w:pos="729" w:val="left" w:leader="none"/>
        </w:tabs>
        <w:spacing w:line="240" w:lineRule="auto" w:before="0" w:after="0"/>
        <w:ind w:left="728" w:right="0" w:hanging="326"/>
        <w:jc w:val="left"/>
        <w:rPr>
          <w:i/>
        </w:rPr>
      </w:pPr>
      <w:r>
        <w:rPr>
          <w:i/>
          <w:w w:val="105"/>
        </w:rPr>
        <w:t>Importancia relativa</w:t>
      </w:r>
    </w:p>
    <w:p>
      <w:pPr>
        <w:pStyle w:val="BodyText"/>
        <w:spacing w:before="4"/>
        <w:rPr>
          <w:b/>
          <w:i/>
          <w:sz w:val="14"/>
        </w:rPr>
      </w:pPr>
    </w:p>
    <w:p>
      <w:pPr>
        <w:pStyle w:val="BodyText"/>
        <w:spacing w:line="300" w:lineRule="auto" w:before="1"/>
        <w:ind w:left="403" w:right="411"/>
        <w:jc w:val="both"/>
      </w:pPr>
      <w:r>
        <w:rPr>
          <w:w w:val="105"/>
        </w:rPr>
        <w:t>Al determinar la información a desglosar en la presente memoria sobre las diferentes partidas de los estados financieros u otros asuntos, la Sociedad, de acuerdo con el Marco Conceptual del Plan General de Contabilidad, ha tenido en cuenta la importancia relativa en relación con las Cuentas Anuales abreviadas del ejercicio 2024.</w:t>
      </w:r>
    </w:p>
    <w:p>
      <w:pPr>
        <w:spacing w:after="0" w:line="300" w:lineRule="auto"/>
        <w:jc w:val="both"/>
        <w:sectPr>
          <w:pgSz w:w="11920" w:h="16850"/>
          <w:pgMar w:header="735" w:footer="891" w:top="1600" w:bottom="1080" w:left="1300" w:right="1300"/>
        </w:sectPr>
      </w:pPr>
    </w:p>
    <w:p>
      <w:pPr>
        <w:pStyle w:val="Heading1"/>
        <w:numPr>
          <w:ilvl w:val="0"/>
          <w:numId w:val="1"/>
        </w:numPr>
        <w:tabs>
          <w:tab w:pos="971" w:val="left" w:leader="none"/>
          <w:tab w:pos="972" w:val="left" w:leader="none"/>
        </w:tabs>
        <w:spacing w:line="240" w:lineRule="auto" w:before="87" w:after="0"/>
        <w:ind w:left="971" w:right="0" w:hanging="569"/>
        <w:jc w:val="left"/>
      </w:pPr>
      <w:r>
        <w:rPr/>
        <w:t>Normas de registro y</w:t>
      </w:r>
      <w:r>
        <w:rPr>
          <w:spacing w:val="5"/>
        </w:rPr>
        <w:t> </w:t>
      </w:r>
      <w:r>
        <w:rPr/>
        <w:t>valoración</w:t>
      </w:r>
    </w:p>
    <w:p>
      <w:pPr>
        <w:pStyle w:val="Heading4"/>
        <w:numPr>
          <w:ilvl w:val="1"/>
          <w:numId w:val="1"/>
        </w:numPr>
        <w:tabs>
          <w:tab w:pos="730" w:val="left" w:leader="none"/>
        </w:tabs>
        <w:spacing w:line="240" w:lineRule="auto" w:before="150" w:after="0"/>
        <w:ind w:left="729" w:right="0" w:hanging="327"/>
        <w:jc w:val="left"/>
        <w:rPr>
          <w:i/>
        </w:rPr>
      </w:pPr>
      <w:r>
        <w:rPr>
          <w:i/>
          <w:w w:val="105"/>
        </w:rPr>
        <w:t>Inmovilizado intangible.</w:t>
      </w:r>
    </w:p>
    <w:p>
      <w:pPr>
        <w:pStyle w:val="BodyText"/>
        <w:spacing w:before="4"/>
        <w:rPr>
          <w:b/>
          <w:i/>
          <w:sz w:val="14"/>
        </w:rPr>
      </w:pPr>
    </w:p>
    <w:p>
      <w:pPr>
        <w:pStyle w:val="BodyText"/>
        <w:spacing w:line="300" w:lineRule="auto"/>
        <w:ind w:left="403" w:right="411"/>
        <w:jc w:val="both"/>
      </w:pPr>
      <w:r>
        <w:rPr>
          <w:w w:val="105"/>
        </w:rPr>
        <w:t>El inmovilizado intangible se valora inicialmente por su coste, ya sea éste el precio </w:t>
      </w:r>
      <w:r>
        <w:rPr>
          <w:spacing w:val="2"/>
          <w:w w:val="105"/>
        </w:rPr>
        <w:t>de </w:t>
      </w:r>
      <w:r>
        <w:rPr>
          <w:w w:val="105"/>
        </w:rPr>
        <w:t>adquisición o el coste </w:t>
      </w:r>
      <w:r>
        <w:rPr>
          <w:spacing w:val="2"/>
          <w:w w:val="105"/>
        </w:rPr>
        <w:t>de </w:t>
      </w:r>
      <w:r>
        <w:rPr>
          <w:w w:val="105"/>
        </w:rPr>
        <w:t>producción. El coste del inmovilizado intangible adquirido mediante combinaciones de negocios es su valor razonable en la fecha de</w:t>
      </w:r>
      <w:r>
        <w:rPr>
          <w:spacing w:val="8"/>
          <w:w w:val="105"/>
        </w:rPr>
        <w:t> </w:t>
      </w:r>
      <w:r>
        <w:rPr>
          <w:w w:val="105"/>
        </w:rPr>
        <w:t>adquisición.</w:t>
      </w:r>
    </w:p>
    <w:p>
      <w:pPr>
        <w:pStyle w:val="BodyText"/>
        <w:spacing w:line="302" w:lineRule="auto" w:before="117"/>
        <w:ind w:left="403" w:right="416"/>
        <w:jc w:val="both"/>
      </w:pPr>
      <w:r>
        <w:rPr>
          <w:w w:val="105"/>
        </w:rPr>
        <w:t>Después del reconocimiento inicial, el inmovilizado intangible </w:t>
      </w:r>
      <w:r>
        <w:rPr>
          <w:spacing w:val="4"/>
          <w:w w:val="105"/>
        </w:rPr>
        <w:t>se </w:t>
      </w:r>
      <w:r>
        <w:rPr>
          <w:w w:val="105"/>
        </w:rPr>
        <w:t>valora por su coste, menos la amortización acumulada y, en su caso, el importe acumulado </w:t>
      </w:r>
      <w:r>
        <w:rPr>
          <w:spacing w:val="2"/>
          <w:w w:val="105"/>
        </w:rPr>
        <w:t>de </w:t>
      </w:r>
      <w:r>
        <w:rPr>
          <w:w w:val="105"/>
        </w:rPr>
        <w:t>las correcciones por deterioro</w:t>
      </w:r>
      <w:r>
        <w:rPr>
          <w:spacing w:val="14"/>
          <w:w w:val="105"/>
        </w:rPr>
        <w:t> </w:t>
      </w:r>
      <w:r>
        <w:rPr>
          <w:w w:val="105"/>
        </w:rPr>
        <w:t>registradas.</w:t>
      </w:r>
    </w:p>
    <w:p>
      <w:pPr>
        <w:pStyle w:val="BodyText"/>
        <w:spacing w:before="123"/>
        <w:ind w:left="403"/>
        <w:jc w:val="both"/>
      </w:pPr>
      <w:r>
        <w:rPr>
          <w:w w:val="105"/>
        </w:rPr>
        <w:t>Para cada inmovilizado intangible </w:t>
      </w:r>
      <w:r>
        <w:rPr>
          <w:spacing w:val="4"/>
          <w:w w:val="105"/>
        </w:rPr>
        <w:t>se </w:t>
      </w:r>
      <w:r>
        <w:rPr>
          <w:w w:val="105"/>
        </w:rPr>
        <w:t>analiza y determina si la vida útil es definida o</w:t>
      </w:r>
      <w:r>
        <w:rPr>
          <w:spacing w:val="-6"/>
          <w:w w:val="105"/>
        </w:rPr>
        <w:t> </w:t>
      </w:r>
      <w:r>
        <w:rPr>
          <w:w w:val="105"/>
        </w:rPr>
        <w:t>indefinida.</w:t>
      </w:r>
    </w:p>
    <w:p>
      <w:pPr>
        <w:pStyle w:val="BodyText"/>
        <w:spacing w:before="9"/>
        <w:rPr>
          <w:sz w:val="13"/>
        </w:rPr>
      </w:pPr>
    </w:p>
    <w:p>
      <w:pPr>
        <w:pStyle w:val="BodyText"/>
        <w:spacing w:line="302" w:lineRule="auto"/>
        <w:ind w:left="403" w:right="403"/>
        <w:jc w:val="both"/>
      </w:pPr>
      <w:r>
        <w:rPr>
          <w:w w:val="105"/>
        </w:rPr>
        <w:t>Los activos intangibles que tienen vida útil definida se amortizan sistemáticamente en función de la vida útil estimada </w:t>
      </w:r>
      <w:r>
        <w:rPr>
          <w:spacing w:val="2"/>
          <w:w w:val="105"/>
        </w:rPr>
        <w:t>de </w:t>
      </w:r>
      <w:r>
        <w:rPr>
          <w:w w:val="105"/>
        </w:rPr>
        <w:t>los mismos y </w:t>
      </w:r>
      <w:r>
        <w:rPr>
          <w:spacing w:val="2"/>
          <w:w w:val="105"/>
        </w:rPr>
        <w:t>de </w:t>
      </w:r>
      <w:r>
        <w:rPr>
          <w:w w:val="105"/>
        </w:rPr>
        <w:t>su valor residual. Los métodos y periodos </w:t>
      </w:r>
      <w:r>
        <w:rPr>
          <w:spacing w:val="2"/>
          <w:w w:val="105"/>
        </w:rPr>
        <w:t>de </w:t>
      </w:r>
      <w:r>
        <w:rPr>
          <w:w w:val="105"/>
        </w:rPr>
        <w:t>amortización aplicados son revisados en cada cierre de ejercicio y, si procede, ajustados de forma prospectiva. Al menos al cierre del ejercicio, se evalúa la existencia de indicios </w:t>
      </w:r>
      <w:r>
        <w:rPr>
          <w:spacing w:val="2"/>
          <w:w w:val="105"/>
        </w:rPr>
        <w:t>de </w:t>
      </w:r>
      <w:r>
        <w:rPr>
          <w:w w:val="105"/>
        </w:rPr>
        <w:t>deterioro, en cuyo caso se estiman los importes recuperables, efectuándose las</w:t>
      </w:r>
      <w:r>
        <w:rPr>
          <w:spacing w:val="40"/>
          <w:w w:val="105"/>
        </w:rPr>
        <w:t> </w:t>
      </w:r>
      <w:r>
        <w:rPr>
          <w:w w:val="105"/>
        </w:rPr>
        <w:t>correcciones valorativas que</w:t>
      </w:r>
      <w:r>
        <w:rPr>
          <w:spacing w:val="4"/>
          <w:w w:val="105"/>
        </w:rPr>
        <w:t> </w:t>
      </w:r>
      <w:r>
        <w:rPr>
          <w:w w:val="105"/>
        </w:rPr>
        <w:t>procedan.</w:t>
      </w:r>
    </w:p>
    <w:p>
      <w:pPr>
        <w:pStyle w:val="BodyText"/>
        <w:spacing w:before="119"/>
        <w:ind w:left="445"/>
        <w:jc w:val="both"/>
      </w:pPr>
      <w:r>
        <w:rPr>
          <w:w w:val="105"/>
        </w:rPr>
        <w:t>En el presente ejercicio no se han reconocido “Pérdidas netas por deterioro” derivadas de los activos intangibles.</w:t>
      </w:r>
    </w:p>
    <w:p>
      <w:pPr>
        <w:pStyle w:val="BodyText"/>
        <w:spacing w:before="10"/>
        <w:rPr>
          <w:sz w:val="13"/>
        </w:rPr>
      </w:pPr>
    </w:p>
    <w:p>
      <w:pPr>
        <w:pStyle w:val="BodyText"/>
        <w:spacing w:before="1"/>
        <w:ind w:left="403"/>
        <w:jc w:val="both"/>
      </w:pPr>
      <w:r>
        <w:rPr>
          <w:w w:val="105"/>
        </w:rPr>
        <w:t>No existe ningún inmovilizado intangible con vida útil indefinida.</w:t>
      </w:r>
    </w:p>
    <w:p>
      <w:pPr>
        <w:pStyle w:val="BodyText"/>
        <w:spacing w:before="4"/>
        <w:rPr>
          <w:sz w:val="14"/>
        </w:rPr>
      </w:pPr>
    </w:p>
    <w:p>
      <w:pPr>
        <w:pStyle w:val="BodyText"/>
        <w:spacing w:line="302" w:lineRule="auto"/>
        <w:ind w:left="403" w:right="415"/>
        <w:jc w:val="both"/>
      </w:pPr>
      <w:r>
        <w:rPr>
          <w:w w:val="105"/>
        </w:rPr>
        <w:t>La amortización de los elementos del inmovilizado intangibles de forma lineal durante su vida útil estimada, en función de los siguientes años de vida útil:</w:t>
      </w:r>
    </w:p>
    <w:p>
      <w:pPr>
        <w:pStyle w:val="BodyText"/>
        <w:spacing w:before="1"/>
        <w:rPr>
          <w:sz w:val="18"/>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25"/>
        <w:gridCol w:w="1810"/>
        <w:gridCol w:w="1816"/>
      </w:tblGrid>
      <w:tr>
        <w:trPr>
          <w:trHeight w:val="288" w:hRule="atLeast"/>
        </w:trPr>
        <w:tc>
          <w:tcPr>
            <w:tcW w:w="5025" w:type="dxa"/>
            <w:shd w:val="clear" w:color="auto" w:fill="D9D9D9"/>
          </w:tcPr>
          <w:p>
            <w:pPr>
              <w:pStyle w:val="TableParagraph"/>
              <w:spacing w:line="190" w:lineRule="exact" w:before="78"/>
              <w:ind w:left="2057" w:right="2055"/>
              <w:jc w:val="center"/>
              <w:rPr>
                <w:b/>
                <w:sz w:val="17"/>
              </w:rPr>
            </w:pPr>
            <w:r>
              <w:rPr>
                <w:b/>
                <w:w w:val="105"/>
                <w:sz w:val="17"/>
              </w:rPr>
              <w:t>Descripción</w:t>
            </w:r>
          </w:p>
        </w:tc>
        <w:tc>
          <w:tcPr>
            <w:tcW w:w="1810" w:type="dxa"/>
            <w:shd w:val="clear" w:color="auto" w:fill="D9D9D9"/>
          </w:tcPr>
          <w:p>
            <w:pPr>
              <w:pStyle w:val="TableParagraph"/>
              <w:spacing w:line="190" w:lineRule="exact" w:before="78"/>
              <w:ind w:left="691" w:right="696"/>
              <w:jc w:val="center"/>
              <w:rPr>
                <w:b/>
                <w:sz w:val="17"/>
              </w:rPr>
            </w:pPr>
            <w:r>
              <w:rPr>
                <w:b/>
                <w:w w:val="105"/>
                <w:sz w:val="17"/>
              </w:rPr>
              <w:t>Años</w:t>
            </w:r>
          </w:p>
        </w:tc>
        <w:tc>
          <w:tcPr>
            <w:tcW w:w="1816" w:type="dxa"/>
            <w:shd w:val="clear" w:color="auto" w:fill="D9D9D9"/>
          </w:tcPr>
          <w:p>
            <w:pPr>
              <w:pStyle w:val="TableParagraph"/>
              <w:spacing w:line="190" w:lineRule="exact" w:before="78"/>
              <w:ind w:left="585" w:right="577"/>
              <w:jc w:val="center"/>
              <w:rPr>
                <w:b/>
                <w:sz w:val="17"/>
              </w:rPr>
            </w:pPr>
            <w:r>
              <w:rPr>
                <w:b/>
                <w:w w:val="105"/>
                <w:sz w:val="17"/>
              </w:rPr>
              <w:t>% Anual</w:t>
            </w:r>
          </w:p>
        </w:tc>
      </w:tr>
      <w:tr>
        <w:trPr>
          <w:trHeight w:val="280" w:hRule="atLeast"/>
        </w:trPr>
        <w:tc>
          <w:tcPr>
            <w:tcW w:w="5025" w:type="dxa"/>
          </w:tcPr>
          <w:p>
            <w:pPr>
              <w:pStyle w:val="TableParagraph"/>
              <w:spacing w:before="35"/>
              <w:ind w:left="73"/>
              <w:jc w:val="left"/>
              <w:rPr>
                <w:sz w:val="17"/>
              </w:rPr>
            </w:pPr>
            <w:r>
              <w:rPr>
                <w:w w:val="105"/>
                <w:sz w:val="17"/>
              </w:rPr>
              <w:t>Aplicaciones informáticas</w:t>
            </w:r>
          </w:p>
        </w:tc>
        <w:tc>
          <w:tcPr>
            <w:tcW w:w="1810" w:type="dxa"/>
          </w:tcPr>
          <w:p>
            <w:pPr>
              <w:pStyle w:val="TableParagraph"/>
              <w:spacing w:before="35"/>
              <w:jc w:val="center"/>
              <w:rPr>
                <w:sz w:val="17"/>
              </w:rPr>
            </w:pPr>
            <w:r>
              <w:rPr>
                <w:w w:val="104"/>
                <w:sz w:val="17"/>
              </w:rPr>
              <w:t>3</w:t>
            </w:r>
          </w:p>
        </w:tc>
        <w:tc>
          <w:tcPr>
            <w:tcW w:w="1816" w:type="dxa"/>
          </w:tcPr>
          <w:p>
            <w:pPr>
              <w:pStyle w:val="TableParagraph"/>
              <w:spacing w:before="35"/>
              <w:ind w:left="585" w:right="572"/>
              <w:jc w:val="center"/>
              <w:rPr>
                <w:sz w:val="17"/>
              </w:rPr>
            </w:pPr>
            <w:r>
              <w:rPr>
                <w:w w:val="105"/>
                <w:sz w:val="17"/>
              </w:rPr>
              <w:t>33,33</w:t>
            </w:r>
          </w:p>
        </w:tc>
      </w:tr>
    </w:tbl>
    <w:p>
      <w:pPr>
        <w:pStyle w:val="BodyText"/>
        <w:spacing w:before="5"/>
        <w:rPr>
          <w:sz w:val="13"/>
        </w:rPr>
      </w:pPr>
    </w:p>
    <w:p>
      <w:pPr>
        <w:pStyle w:val="ListParagraph"/>
        <w:numPr>
          <w:ilvl w:val="0"/>
          <w:numId w:val="2"/>
        </w:numPr>
        <w:tabs>
          <w:tab w:pos="971" w:val="left" w:leader="none"/>
          <w:tab w:pos="972" w:val="left" w:leader="none"/>
        </w:tabs>
        <w:spacing w:line="240" w:lineRule="auto" w:before="1" w:after="0"/>
        <w:ind w:left="971" w:right="0" w:hanging="569"/>
        <w:jc w:val="left"/>
        <w:rPr>
          <w:b/>
          <w:sz w:val="17"/>
        </w:rPr>
      </w:pPr>
      <w:r>
        <w:rPr>
          <w:b/>
          <w:w w:val="105"/>
          <w:sz w:val="17"/>
        </w:rPr>
        <w:t>Aplicaciones</w:t>
      </w:r>
      <w:r>
        <w:rPr>
          <w:b/>
          <w:spacing w:val="2"/>
          <w:w w:val="105"/>
          <w:sz w:val="17"/>
        </w:rPr>
        <w:t> </w:t>
      </w:r>
      <w:r>
        <w:rPr>
          <w:b/>
          <w:w w:val="105"/>
          <w:sz w:val="17"/>
        </w:rPr>
        <w:t>informáticas</w:t>
      </w:r>
    </w:p>
    <w:p>
      <w:pPr>
        <w:pStyle w:val="BodyText"/>
        <w:spacing w:line="304" w:lineRule="auto" w:before="175"/>
        <w:ind w:left="403" w:right="414"/>
        <w:jc w:val="both"/>
      </w:pPr>
      <w:r>
        <w:rPr>
          <w:w w:val="105"/>
        </w:rPr>
        <w:t>Se valoran al precio de adquisición o coste de producción, incluyéndose en este epígrafe los gastos de desarrollo de las páginas web (siempre que esté prevista su utilización durante varios años).</w:t>
      </w:r>
    </w:p>
    <w:p>
      <w:pPr>
        <w:pStyle w:val="Heading4"/>
        <w:numPr>
          <w:ilvl w:val="1"/>
          <w:numId w:val="1"/>
        </w:numPr>
        <w:tabs>
          <w:tab w:pos="729" w:val="left" w:leader="none"/>
        </w:tabs>
        <w:spacing w:line="240" w:lineRule="auto" w:before="119" w:after="0"/>
        <w:ind w:left="729" w:right="0" w:hanging="326"/>
        <w:jc w:val="left"/>
        <w:rPr>
          <w:i/>
        </w:rPr>
      </w:pPr>
      <w:r>
        <w:rPr>
          <w:i/>
          <w:w w:val="105"/>
        </w:rPr>
        <w:t>Inmovilizado material.</w:t>
      </w:r>
    </w:p>
    <w:p>
      <w:pPr>
        <w:pStyle w:val="BodyText"/>
        <w:spacing w:before="10"/>
        <w:rPr>
          <w:b/>
          <w:i/>
          <w:sz w:val="13"/>
        </w:rPr>
      </w:pPr>
    </w:p>
    <w:p>
      <w:pPr>
        <w:pStyle w:val="BodyText"/>
        <w:spacing w:line="302" w:lineRule="auto"/>
        <w:ind w:left="403" w:right="400"/>
        <w:jc w:val="both"/>
      </w:pPr>
      <w:r>
        <w:rPr>
          <w:w w:val="105"/>
        </w:rPr>
        <w:t>Se valora a su precio de adquisición o a su coste de producción que incluye, además del importe facturado después de deducir cualquier descuento o rebaja en el precio, todos los gastos adicionales y directamente relacionados que se produzcan hasta su puesta en funcionamiento, como los gastos de explanación y derribo, transporte, seguros, instalación, montaje y otros similares. La Sociedad incluye en el coste del inmovilizado material que necesita </w:t>
      </w:r>
      <w:r>
        <w:rPr>
          <w:spacing w:val="2"/>
          <w:w w:val="105"/>
        </w:rPr>
        <w:t>un </w:t>
      </w:r>
      <w:r>
        <w:rPr>
          <w:w w:val="105"/>
        </w:rPr>
        <w:t>periodo de tiempo superior a un año para estar en condiciones de uso, explotación o venta, los gastos financieros relacionados con la financiación específica o genérica, directamente atribuible a la adquisición, construcción o producción. Forma parte, también, del valor del inmovilizado material, la estimación inicial del valor actual </w:t>
      </w:r>
      <w:r>
        <w:rPr>
          <w:spacing w:val="2"/>
          <w:w w:val="105"/>
        </w:rPr>
        <w:t>de </w:t>
      </w:r>
      <w:r>
        <w:rPr>
          <w:w w:val="105"/>
        </w:rPr>
        <w:t>las obligaciones asumidas derivadas del desmantelamiento o retiro y otras asociadas al activo, tales como costes de rehabilitación, cuando estas obligaciones dan lugar al registro de provisiones. Así como la mejor  estimación del</w:t>
      </w:r>
      <w:r>
        <w:rPr>
          <w:spacing w:val="40"/>
          <w:w w:val="105"/>
        </w:rPr>
        <w:t> </w:t>
      </w:r>
      <w:r>
        <w:rPr>
          <w:w w:val="105"/>
        </w:rPr>
        <w:t>valor actual del importe contingente, no obstante, los pagos contingentes que dependan de</w:t>
      </w:r>
      <w:r>
        <w:rPr>
          <w:spacing w:val="40"/>
          <w:w w:val="105"/>
        </w:rPr>
        <w:t> </w:t>
      </w:r>
      <w:r>
        <w:rPr>
          <w:w w:val="105"/>
        </w:rPr>
        <w:t>magnitudes relacionadas con el desarrollo de la actividad, se contabilizan como un gasto en la cuenta </w:t>
      </w:r>
      <w:r>
        <w:rPr>
          <w:spacing w:val="2"/>
          <w:w w:val="105"/>
        </w:rPr>
        <w:t>de </w:t>
      </w:r>
      <w:r>
        <w:rPr>
          <w:w w:val="105"/>
        </w:rPr>
        <w:t>pérdidas y ganancias a medida en que </w:t>
      </w:r>
      <w:r>
        <w:rPr>
          <w:spacing w:val="4"/>
          <w:w w:val="105"/>
        </w:rPr>
        <w:t>se</w:t>
      </w:r>
      <w:r>
        <w:rPr>
          <w:spacing w:val="-1"/>
          <w:w w:val="105"/>
        </w:rPr>
        <w:t> </w:t>
      </w:r>
      <w:r>
        <w:rPr>
          <w:w w:val="105"/>
        </w:rPr>
        <w:t>incurran.</w:t>
      </w:r>
    </w:p>
    <w:p>
      <w:pPr>
        <w:pStyle w:val="BodyText"/>
        <w:spacing w:line="300" w:lineRule="auto" w:before="105"/>
        <w:ind w:left="403" w:right="408"/>
        <w:jc w:val="both"/>
      </w:pPr>
      <w:r>
        <w:rPr>
          <w:w w:val="105"/>
        </w:rPr>
        <w:t>Las cantidades entregadas a cuenta de adquisiciones futuras </w:t>
      </w:r>
      <w:r>
        <w:rPr>
          <w:spacing w:val="2"/>
          <w:w w:val="105"/>
        </w:rPr>
        <w:t>de </w:t>
      </w:r>
      <w:r>
        <w:rPr>
          <w:w w:val="105"/>
        </w:rPr>
        <w:t>bienes del inmovilizado material, se registran en el activo y los ajustes que surjan por la actualización del valor del activo asociado al anticipo dan lugar al reconocimiento </w:t>
      </w:r>
      <w:r>
        <w:rPr>
          <w:spacing w:val="2"/>
          <w:w w:val="105"/>
        </w:rPr>
        <w:t>de </w:t>
      </w:r>
      <w:r>
        <w:rPr>
          <w:w w:val="105"/>
        </w:rPr>
        <w:t>ingresos financieros, conforme se devenguen. A tal efecto </w:t>
      </w:r>
      <w:r>
        <w:rPr>
          <w:spacing w:val="4"/>
          <w:w w:val="105"/>
        </w:rPr>
        <w:t>se </w:t>
      </w:r>
      <w:r>
        <w:rPr>
          <w:w w:val="105"/>
        </w:rPr>
        <w:t>utiliza el tipo de</w:t>
      </w:r>
      <w:r>
        <w:rPr>
          <w:spacing w:val="40"/>
          <w:w w:val="105"/>
        </w:rPr>
        <w:t> </w:t>
      </w:r>
      <w:r>
        <w:rPr>
          <w:w w:val="105"/>
        </w:rPr>
        <w:t>interés incremental del proveedor existente en el momento inicial, es decir, el tipo de interés al que el proveedor podría financiarse en condiciones equivalentes a las que resultan del importe recibido, que no será objeto de modificación en posteriores ejercicios. Cuando se trate </w:t>
      </w:r>
      <w:r>
        <w:rPr>
          <w:spacing w:val="2"/>
          <w:w w:val="105"/>
        </w:rPr>
        <w:t>de </w:t>
      </w:r>
      <w:r>
        <w:rPr>
          <w:w w:val="105"/>
        </w:rPr>
        <w:t>anticipos con vencimiento no superior a un año y cuyo  efecto financiero no sea significativo, </w:t>
      </w:r>
      <w:r>
        <w:rPr>
          <w:spacing w:val="2"/>
          <w:w w:val="105"/>
        </w:rPr>
        <w:t>no </w:t>
      </w:r>
      <w:r>
        <w:rPr>
          <w:w w:val="105"/>
        </w:rPr>
        <w:t>será necesario llevar a </w:t>
      </w:r>
      <w:r>
        <w:rPr>
          <w:spacing w:val="2"/>
          <w:w w:val="105"/>
        </w:rPr>
        <w:t>cabo </w:t>
      </w:r>
      <w:r>
        <w:rPr>
          <w:w w:val="105"/>
        </w:rPr>
        <w:t>ningún tipo de</w:t>
      </w:r>
      <w:r>
        <w:rPr>
          <w:spacing w:val="3"/>
          <w:w w:val="105"/>
        </w:rPr>
        <w:t> </w:t>
      </w:r>
      <w:r>
        <w:rPr>
          <w:w w:val="105"/>
        </w:rPr>
        <w:t>actualización.</w:t>
      </w:r>
    </w:p>
    <w:p>
      <w:pPr>
        <w:spacing w:after="0" w:line="300" w:lineRule="auto"/>
        <w:jc w:val="both"/>
        <w:sectPr>
          <w:pgSz w:w="11920" w:h="16850"/>
          <w:pgMar w:header="735" w:footer="891" w:top="1600" w:bottom="1080" w:left="1300" w:right="1300"/>
        </w:sectPr>
      </w:pPr>
    </w:p>
    <w:p>
      <w:pPr>
        <w:pStyle w:val="BodyText"/>
        <w:spacing w:line="302" w:lineRule="auto" w:before="147"/>
        <w:ind w:left="403" w:right="400" w:firstLine="42"/>
        <w:jc w:val="both"/>
      </w:pPr>
      <w:r>
        <w:rPr>
          <w:w w:val="105"/>
        </w:rPr>
        <w:t>No es aplicable la activación </w:t>
      </w:r>
      <w:r>
        <w:rPr>
          <w:spacing w:val="2"/>
          <w:w w:val="105"/>
        </w:rPr>
        <w:t>de </w:t>
      </w:r>
      <w:r>
        <w:rPr>
          <w:w w:val="105"/>
        </w:rPr>
        <w:t>grandes reparaciones y costes de retiro y rehabilitación. La Sociedad no tiene compromisos </w:t>
      </w:r>
      <w:r>
        <w:rPr>
          <w:spacing w:val="2"/>
          <w:w w:val="105"/>
        </w:rPr>
        <w:t>de </w:t>
      </w:r>
      <w:r>
        <w:rPr>
          <w:w w:val="105"/>
        </w:rPr>
        <w:t>desmantelamiento, retiro o rehabilitación para sus bienes de activo. Por ello no se han contabilizado en los activos valores para la cobertura de tales obligaciones </w:t>
      </w:r>
      <w:r>
        <w:rPr>
          <w:spacing w:val="2"/>
          <w:w w:val="105"/>
        </w:rPr>
        <w:t>de</w:t>
      </w:r>
      <w:r>
        <w:rPr>
          <w:spacing w:val="21"/>
          <w:w w:val="105"/>
        </w:rPr>
        <w:t> </w:t>
      </w:r>
      <w:r>
        <w:rPr>
          <w:w w:val="105"/>
        </w:rPr>
        <w:t>futuro.</w:t>
      </w:r>
    </w:p>
    <w:p>
      <w:pPr>
        <w:pStyle w:val="BodyText"/>
        <w:spacing w:line="302" w:lineRule="auto" w:before="116"/>
        <w:ind w:left="403" w:right="413"/>
        <w:jc w:val="both"/>
      </w:pPr>
      <w:r>
        <w:rPr>
          <w:w w:val="105"/>
        </w:rPr>
        <w:t>Después del reconocimiento inicial, se contabiliza la reversión del descuento financiero asociado a la provisión en la cuenta de pérdidas y ganancias y se ajusta el valor del pasivo de acuerdo con el tipo de interés aplicado en el reconocimiento inicial, o en la fecha </w:t>
      </w:r>
      <w:r>
        <w:rPr>
          <w:spacing w:val="2"/>
          <w:w w:val="105"/>
        </w:rPr>
        <w:t>de </w:t>
      </w:r>
      <w:r>
        <w:rPr>
          <w:w w:val="105"/>
        </w:rPr>
        <w:t>la última revisión. Por su parte, la valoración inicial del inmovilizado material podrá verse alterada por cambios en estimaciones contables que modifiquen el importe </w:t>
      </w:r>
      <w:r>
        <w:rPr>
          <w:spacing w:val="2"/>
          <w:w w:val="105"/>
        </w:rPr>
        <w:t>de </w:t>
      </w:r>
      <w:r>
        <w:rPr>
          <w:w w:val="105"/>
        </w:rPr>
        <w:t>la provisión asociada a los costes </w:t>
      </w:r>
      <w:r>
        <w:rPr>
          <w:spacing w:val="2"/>
          <w:w w:val="105"/>
        </w:rPr>
        <w:t>de </w:t>
      </w:r>
      <w:r>
        <w:rPr>
          <w:w w:val="105"/>
        </w:rPr>
        <w:t>desmantelamiento y rehabilitación, una vez reconocida la reversión del descuento, y que podrán venir motivados</w:t>
      </w:r>
      <w:r>
        <w:rPr>
          <w:spacing w:val="3"/>
          <w:w w:val="105"/>
        </w:rPr>
        <w:t> </w:t>
      </w:r>
      <w:r>
        <w:rPr>
          <w:w w:val="105"/>
        </w:rPr>
        <w:t>por:</w:t>
      </w:r>
    </w:p>
    <w:p>
      <w:pPr>
        <w:pStyle w:val="BodyText"/>
        <w:spacing w:line="295" w:lineRule="auto" w:before="114"/>
        <w:ind w:left="971" w:right="407" w:hanging="568"/>
        <w:jc w:val="both"/>
      </w:pPr>
      <w:r>
        <w:rPr>
          <w:rFonts w:ascii="Courier New" w:hAnsi="Courier New"/>
          <w:w w:val="105"/>
        </w:rPr>
        <w:t>o </w:t>
      </w:r>
      <w:r>
        <w:rPr>
          <w:w w:val="105"/>
        </w:rPr>
        <w:t>Un cambio en el calendario o en el importe </w:t>
      </w:r>
      <w:r>
        <w:rPr>
          <w:spacing w:val="2"/>
          <w:w w:val="105"/>
        </w:rPr>
        <w:t>de </w:t>
      </w:r>
      <w:r>
        <w:rPr>
          <w:w w:val="105"/>
        </w:rPr>
        <w:t>los flujos de efectivo estimados para cancelar la obligación asociada al desmantelamiento o la</w:t>
      </w:r>
      <w:r>
        <w:rPr>
          <w:spacing w:val="7"/>
          <w:w w:val="105"/>
        </w:rPr>
        <w:t> </w:t>
      </w:r>
      <w:r>
        <w:rPr>
          <w:w w:val="105"/>
        </w:rPr>
        <w:t>rehabilitación.</w:t>
      </w:r>
    </w:p>
    <w:p>
      <w:pPr>
        <w:pStyle w:val="BodyText"/>
        <w:spacing w:line="300" w:lineRule="auto" w:before="122"/>
        <w:ind w:left="971" w:right="409" w:hanging="568"/>
        <w:jc w:val="both"/>
      </w:pPr>
      <w:r>
        <w:rPr>
          <w:rFonts w:ascii="Courier New" w:hAnsi="Courier New"/>
          <w:w w:val="105"/>
        </w:rPr>
        <w:t>o </w:t>
      </w:r>
      <w:r>
        <w:rPr>
          <w:w w:val="105"/>
        </w:rPr>
        <w:t>El tipo de descuento empleado por la Sociedad para la determinación del valor actual de la provisión que, en principio, es el tipo de interés libre de riesgo, salvo que al estimar los flujos de efectivo no se hubiera tenido en cuenta el riesgo asociado al cumplimiento de la obligación.</w:t>
      </w:r>
    </w:p>
    <w:p>
      <w:pPr>
        <w:pStyle w:val="BodyText"/>
        <w:spacing w:line="304" w:lineRule="auto" w:before="118"/>
        <w:ind w:left="403" w:right="404"/>
        <w:jc w:val="both"/>
      </w:pPr>
      <w:r>
        <w:rPr>
          <w:w w:val="105"/>
        </w:rPr>
        <w:t>Se registra la pérdida por deterioro del valor </w:t>
      </w:r>
      <w:r>
        <w:rPr>
          <w:spacing w:val="2"/>
          <w:w w:val="105"/>
        </w:rPr>
        <w:t>de </w:t>
      </w:r>
      <w:r>
        <w:rPr>
          <w:w w:val="105"/>
        </w:rPr>
        <w:t>un elemento del inmovilizado material cuando su valor  neto contable supere a su importe recuperable, entendiendo éste como el mayor importe entre </w:t>
      </w:r>
      <w:r>
        <w:rPr>
          <w:spacing w:val="4"/>
          <w:w w:val="105"/>
        </w:rPr>
        <w:t>su </w:t>
      </w:r>
      <w:r>
        <w:rPr>
          <w:w w:val="105"/>
        </w:rPr>
        <w:t>valor razonable</w:t>
      </w:r>
      <w:r>
        <w:rPr>
          <w:spacing w:val="40"/>
          <w:w w:val="105"/>
        </w:rPr>
        <w:t> </w:t>
      </w:r>
      <w:r>
        <w:rPr>
          <w:w w:val="105"/>
        </w:rPr>
        <w:t>menos los costes </w:t>
      </w:r>
      <w:r>
        <w:rPr>
          <w:spacing w:val="2"/>
          <w:w w:val="105"/>
        </w:rPr>
        <w:t>de </w:t>
      </w:r>
      <w:r>
        <w:rPr>
          <w:w w:val="105"/>
        </w:rPr>
        <w:t>venta y su valor en</w:t>
      </w:r>
      <w:r>
        <w:rPr>
          <w:spacing w:val="10"/>
          <w:w w:val="105"/>
        </w:rPr>
        <w:t> </w:t>
      </w:r>
      <w:r>
        <w:rPr>
          <w:w w:val="105"/>
        </w:rPr>
        <w:t>uso.</w:t>
      </w:r>
    </w:p>
    <w:p>
      <w:pPr>
        <w:pStyle w:val="BodyText"/>
        <w:spacing w:line="302" w:lineRule="auto" w:before="110"/>
        <w:ind w:left="403" w:right="409"/>
        <w:jc w:val="both"/>
      </w:pPr>
      <w:r>
        <w:rPr>
          <w:w w:val="105"/>
        </w:rPr>
        <w:t>Los gastos realizados durante el ejercicio con motivo </w:t>
      </w:r>
      <w:r>
        <w:rPr>
          <w:spacing w:val="2"/>
          <w:w w:val="105"/>
        </w:rPr>
        <w:t>de </w:t>
      </w:r>
      <w:r>
        <w:rPr>
          <w:w w:val="105"/>
        </w:rPr>
        <w:t>las obras y trabajos efectuados por la Sociedad, se cargarán en las cuentas de gastos que correspondan. Los costes de ampliación o mejora que dan lugar a un aumento </w:t>
      </w:r>
      <w:r>
        <w:rPr>
          <w:spacing w:val="2"/>
          <w:w w:val="105"/>
        </w:rPr>
        <w:t>de </w:t>
      </w:r>
      <w:r>
        <w:rPr>
          <w:w w:val="105"/>
        </w:rPr>
        <w:t>la capacidad productiva o a </w:t>
      </w:r>
      <w:r>
        <w:rPr>
          <w:spacing w:val="2"/>
          <w:w w:val="105"/>
        </w:rPr>
        <w:t>un </w:t>
      </w:r>
      <w:r>
        <w:rPr>
          <w:w w:val="105"/>
        </w:rPr>
        <w:t>alargamiento </w:t>
      </w:r>
      <w:r>
        <w:rPr>
          <w:spacing w:val="2"/>
          <w:w w:val="105"/>
        </w:rPr>
        <w:t>de </w:t>
      </w:r>
      <w:r>
        <w:rPr>
          <w:w w:val="105"/>
        </w:rPr>
        <w:t>la vida útil </w:t>
      </w:r>
      <w:r>
        <w:rPr>
          <w:spacing w:val="2"/>
          <w:w w:val="105"/>
        </w:rPr>
        <w:t>de </w:t>
      </w:r>
      <w:r>
        <w:rPr>
          <w:w w:val="105"/>
        </w:rPr>
        <w:t>los bienes, </w:t>
      </w:r>
      <w:r>
        <w:rPr>
          <w:spacing w:val="2"/>
          <w:w w:val="105"/>
        </w:rPr>
        <w:t>son </w:t>
      </w:r>
      <w:r>
        <w:rPr>
          <w:w w:val="105"/>
        </w:rPr>
        <w:t>incorporados al activo como mayor valor del mismo. Las cuentas del inmovilizado material en curso, </w:t>
      </w:r>
      <w:r>
        <w:rPr>
          <w:spacing w:val="4"/>
          <w:w w:val="105"/>
        </w:rPr>
        <w:t>se </w:t>
      </w:r>
      <w:r>
        <w:rPr>
          <w:w w:val="105"/>
        </w:rPr>
        <w:t>cargan por el importe </w:t>
      </w:r>
      <w:r>
        <w:rPr>
          <w:spacing w:val="2"/>
          <w:w w:val="105"/>
        </w:rPr>
        <w:t>de </w:t>
      </w:r>
      <w:r>
        <w:rPr>
          <w:w w:val="105"/>
        </w:rPr>
        <w:t>dichos gastos, con  abono a</w:t>
      </w:r>
      <w:r>
        <w:rPr>
          <w:spacing w:val="40"/>
          <w:w w:val="105"/>
        </w:rPr>
        <w:t> </w:t>
      </w:r>
      <w:r>
        <w:rPr>
          <w:w w:val="105"/>
        </w:rPr>
        <w:t>la partida </w:t>
      </w:r>
      <w:r>
        <w:rPr>
          <w:spacing w:val="2"/>
          <w:w w:val="105"/>
        </w:rPr>
        <w:t>de </w:t>
      </w:r>
      <w:r>
        <w:rPr>
          <w:w w:val="105"/>
        </w:rPr>
        <w:t>ingresos que recoge los trabajos realizados por la Sociedad para sí</w:t>
      </w:r>
      <w:r>
        <w:rPr>
          <w:spacing w:val="15"/>
          <w:w w:val="105"/>
        </w:rPr>
        <w:t> </w:t>
      </w:r>
      <w:r>
        <w:rPr>
          <w:w w:val="105"/>
        </w:rPr>
        <w:t>misma.</w:t>
      </w:r>
    </w:p>
    <w:p>
      <w:pPr>
        <w:pStyle w:val="BodyText"/>
        <w:spacing w:line="304" w:lineRule="auto" w:before="112"/>
        <w:ind w:left="403" w:right="409"/>
        <w:jc w:val="both"/>
      </w:pPr>
      <w:r>
        <w:rPr>
          <w:w w:val="105"/>
        </w:rPr>
        <w:t>La amortización </w:t>
      </w:r>
      <w:r>
        <w:rPr>
          <w:spacing w:val="2"/>
          <w:w w:val="105"/>
        </w:rPr>
        <w:t>de </w:t>
      </w:r>
      <w:r>
        <w:rPr>
          <w:w w:val="105"/>
        </w:rPr>
        <w:t>los elementos del inmovilizado material se realiza, desde el momento en el</w:t>
      </w:r>
      <w:r>
        <w:rPr>
          <w:spacing w:val="40"/>
          <w:w w:val="105"/>
        </w:rPr>
        <w:t> </w:t>
      </w:r>
      <w:r>
        <w:rPr>
          <w:w w:val="105"/>
        </w:rPr>
        <w:t>que  están disponibles para su puesta en funcionamiento, de forma lineal durante su vida útil estimada estimando un valor residual nulo, en función </w:t>
      </w:r>
      <w:r>
        <w:rPr>
          <w:spacing w:val="2"/>
          <w:w w:val="105"/>
        </w:rPr>
        <w:t>de </w:t>
      </w:r>
      <w:r>
        <w:rPr>
          <w:w w:val="105"/>
        </w:rPr>
        <w:t>los siguientes años de vida</w:t>
      </w:r>
      <w:r>
        <w:rPr>
          <w:spacing w:val="16"/>
          <w:w w:val="105"/>
        </w:rPr>
        <w:t> </w:t>
      </w:r>
      <w:r>
        <w:rPr>
          <w:w w:val="105"/>
        </w:rPr>
        <w:t>útil:</w:t>
      </w:r>
    </w:p>
    <w:p>
      <w:pPr>
        <w:pStyle w:val="BodyText"/>
        <w:spacing w:before="4"/>
        <w:rPr>
          <w:sz w:val="11"/>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25"/>
        <w:gridCol w:w="1810"/>
        <w:gridCol w:w="1816"/>
      </w:tblGrid>
      <w:tr>
        <w:trPr>
          <w:trHeight w:val="280" w:hRule="atLeast"/>
        </w:trPr>
        <w:tc>
          <w:tcPr>
            <w:tcW w:w="5025" w:type="dxa"/>
            <w:shd w:val="clear" w:color="auto" w:fill="D9D9D9"/>
          </w:tcPr>
          <w:p>
            <w:pPr>
              <w:pStyle w:val="TableParagraph"/>
              <w:spacing w:before="42"/>
              <w:ind w:left="2057" w:right="2055"/>
              <w:jc w:val="center"/>
              <w:rPr>
                <w:b/>
                <w:sz w:val="17"/>
              </w:rPr>
            </w:pPr>
            <w:r>
              <w:rPr>
                <w:b/>
                <w:w w:val="105"/>
                <w:sz w:val="17"/>
              </w:rPr>
              <w:t>Descripción</w:t>
            </w:r>
          </w:p>
        </w:tc>
        <w:tc>
          <w:tcPr>
            <w:tcW w:w="1810" w:type="dxa"/>
            <w:shd w:val="clear" w:color="auto" w:fill="D9D9D9"/>
          </w:tcPr>
          <w:p>
            <w:pPr>
              <w:pStyle w:val="TableParagraph"/>
              <w:spacing w:before="42"/>
              <w:ind w:left="691" w:right="696"/>
              <w:jc w:val="center"/>
              <w:rPr>
                <w:b/>
                <w:sz w:val="17"/>
              </w:rPr>
            </w:pPr>
            <w:r>
              <w:rPr>
                <w:b/>
                <w:w w:val="105"/>
                <w:sz w:val="17"/>
              </w:rPr>
              <w:t>Años</w:t>
            </w:r>
          </w:p>
        </w:tc>
        <w:tc>
          <w:tcPr>
            <w:tcW w:w="1816" w:type="dxa"/>
            <w:shd w:val="clear" w:color="auto" w:fill="D9D9D9"/>
          </w:tcPr>
          <w:p>
            <w:pPr>
              <w:pStyle w:val="TableParagraph"/>
              <w:spacing w:before="42"/>
              <w:ind w:left="585" w:right="577"/>
              <w:jc w:val="center"/>
              <w:rPr>
                <w:b/>
                <w:sz w:val="17"/>
              </w:rPr>
            </w:pPr>
            <w:r>
              <w:rPr>
                <w:b/>
                <w:w w:val="105"/>
                <w:sz w:val="17"/>
              </w:rPr>
              <w:t>% Anual</w:t>
            </w:r>
          </w:p>
        </w:tc>
      </w:tr>
      <w:tr>
        <w:trPr>
          <w:trHeight w:val="280" w:hRule="atLeast"/>
        </w:trPr>
        <w:tc>
          <w:tcPr>
            <w:tcW w:w="5025" w:type="dxa"/>
          </w:tcPr>
          <w:p>
            <w:pPr>
              <w:pStyle w:val="TableParagraph"/>
              <w:spacing w:before="42"/>
              <w:ind w:left="73"/>
              <w:jc w:val="left"/>
              <w:rPr>
                <w:sz w:val="17"/>
              </w:rPr>
            </w:pPr>
            <w:r>
              <w:rPr>
                <w:w w:val="105"/>
                <w:sz w:val="17"/>
              </w:rPr>
              <w:t>Instalaciones técnicas</w:t>
            </w:r>
          </w:p>
        </w:tc>
        <w:tc>
          <w:tcPr>
            <w:tcW w:w="1810" w:type="dxa"/>
          </w:tcPr>
          <w:p>
            <w:pPr>
              <w:pStyle w:val="TableParagraph"/>
              <w:spacing w:before="42"/>
              <w:ind w:left="691" w:right="684"/>
              <w:jc w:val="center"/>
              <w:rPr>
                <w:sz w:val="17"/>
              </w:rPr>
            </w:pPr>
            <w:r>
              <w:rPr>
                <w:w w:val="105"/>
                <w:sz w:val="17"/>
              </w:rPr>
              <w:t>10</w:t>
            </w:r>
          </w:p>
        </w:tc>
        <w:tc>
          <w:tcPr>
            <w:tcW w:w="1816" w:type="dxa"/>
          </w:tcPr>
          <w:p>
            <w:pPr>
              <w:pStyle w:val="TableParagraph"/>
              <w:spacing w:before="42"/>
              <w:ind w:left="585" w:right="570"/>
              <w:jc w:val="center"/>
              <w:rPr>
                <w:sz w:val="17"/>
              </w:rPr>
            </w:pPr>
            <w:r>
              <w:rPr>
                <w:w w:val="105"/>
                <w:sz w:val="17"/>
              </w:rPr>
              <w:t>10</w:t>
            </w:r>
          </w:p>
        </w:tc>
      </w:tr>
      <w:tr>
        <w:trPr>
          <w:trHeight w:val="288" w:hRule="atLeast"/>
        </w:trPr>
        <w:tc>
          <w:tcPr>
            <w:tcW w:w="5025" w:type="dxa"/>
          </w:tcPr>
          <w:p>
            <w:pPr>
              <w:pStyle w:val="TableParagraph"/>
              <w:spacing w:before="43"/>
              <w:ind w:left="73"/>
              <w:jc w:val="left"/>
              <w:rPr>
                <w:sz w:val="17"/>
              </w:rPr>
            </w:pPr>
            <w:r>
              <w:rPr>
                <w:w w:val="105"/>
                <w:sz w:val="17"/>
              </w:rPr>
              <w:t>Otras instalaciones</w:t>
            </w:r>
          </w:p>
        </w:tc>
        <w:tc>
          <w:tcPr>
            <w:tcW w:w="1810" w:type="dxa"/>
          </w:tcPr>
          <w:p>
            <w:pPr>
              <w:pStyle w:val="TableParagraph"/>
              <w:spacing w:before="43"/>
              <w:ind w:left="691" w:right="684"/>
              <w:jc w:val="center"/>
              <w:rPr>
                <w:sz w:val="17"/>
              </w:rPr>
            </w:pPr>
            <w:r>
              <w:rPr>
                <w:w w:val="105"/>
                <w:sz w:val="17"/>
              </w:rPr>
              <w:t>10</w:t>
            </w:r>
          </w:p>
        </w:tc>
        <w:tc>
          <w:tcPr>
            <w:tcW w:w="1816" w:type="dxa"/>
          </w:tcPr>
          <w:p>
            <w:pPr>
              <w:pStyle w:val="TableParagraph"/>
              <w:spacing w:before="43"/>
              <w:ind w:left="585" w:right="570"/>
              <w:jc w:val="center"/>
              <w:rPr>
                <w:sz w:val="17"/>
              </w:rPr>
            </w:pPr>
            <w:r>
              <w:rPr>
                <w:w w:val="105"/>
                <w:sz w:val="17"/>
              </w:rPr>
              <w:t>10</w:t>
            </w:r>
          </w:p>
        </w:tc>
      </w:tr>
      <w:tr>
        <w:trPr>
          <w:trHeight w:val="280" w:hRule="atLeast"/>
        </w:trPr>
        <w:tc>
          <w:tcPr>
            <w:tcW w:w="5025" w:type="dxa"/>
          </w:tcPr>
          <w:p>
            <w:pPr>
              <w:pStyle w:val="TableParagraph"/>
              <w:spacing w:before="42"/>
              <w:ind w:left="73"/>
              <w:jc w:val="left"/>
              <w:rPr>
                <w:sz w:val="17"/>
              </w:rPr>
            </w:pPr>
            <w:r>
              <w:rPr>
                <w:w w:val="105"/>
                <w:sz w:val="17"/>
              </w:rPr>
              <w:t>Mobiliario</w:t>
            </w:r>
          </w:p>
        </w:tc>
        <w:tc>
          <w:tcPr>
            <w:tcW w:w="1810" w:type="dxa"/>
          </w:tcPr>
          <w:p>
            <w:pPr>
              <w:pStyle w:val="TableParagraph"/>
              <w:spacing w:before="42"/>
              <w:ind w:left="691" w:right="684"/>
              <w:jc w:val="center"/>
              <w:rPr>
                <w:sz w:val="17"/>
              </w:rPr>
            </w:pPr>
            <w:r>
              <w:rPr>
                <w:w w:val="105"/>
                <w:sz w:val="17"/>
              </w:rPr>
              <w:t>10</w:t>
            </w:r>
          </w:p>
        </w:tc>
        <w:tc>
          <w:tcPr>
            <w:tcW w:w="1816" w:type="dxa"/>
          </w:tcPr>
          <w:p>
            <w:pPr>
              <w:pStyle w:val="TableParagraph"/>
              <w:spacing w:before="42"/>
              <w:ind w:left="585" w:right="570"/>
              <w:jc w:val="center"/>
              <w:rPr>
                <w:sz w:val="17"/>
              </w:rPr>
            </w:pPr>
            <w:r>
              <w:rPr>
                <w:w w:val="105"/>
                <w:sz w:val="17"/>
              </w:rPr>
              <w:t>10</w:t>
            </w:r>
          </w:p>
        </w:tc>
      </w:tr>
      <w:tr>
        <w:trPr>
          <w:trHeight w:val="281" w:hRule="atLeast"/>
        </w:trPr>
        <w:tc>
          <w:tcPr>
            <w:tcW w:w="5025" w:type="dxa"/>
          </w:tcPr>
          <w:p>
            <w:pPr>
              <w:pStyle w:val="TableParagraph"/>
              <w:spacing w:before="42"/>
              <w:ind w:left="73"/>
              <w:jc w:val="left"/>
              <w:rPr>
                <w:sz w:val="17"/>
              </w:rPr>
            </w:pPr>
            <w:r>
              <w:rPr>
                <w:w w:val="105"/>
                <w:sz w:val="17"/>
              </w:rPr>
              <w:t>Elementos de transporte</w:t>
            </w:r>
          </w:p>
        </w:tc>
        <w:tc>
          <w:tcPr>
            <w:tcW w:w="1810" w:type="dxa"/>
          </w:tcPr>
          <w:p>
            <w:pPr>
              <w:pStyle w:val="TableParagraph"/>
              <w:spacing w:before="42"/>
              <w:ind w:left="691" w:right="684"/>
              <w:jc w:val="center"/>
              <w:rPr>
                <w:sz w:val="17"/>
              </w:rPr>
            </w:pPr>
            <w:r>
              <w:rPr>
                <w:w w:val="105"/>
                <w:sz w:val="17"/>
              </w:rPr>
              <w:t>12</w:t>
            </w:r>
          </w:p>
        </w:tc>
        <w:tc>
          <w:tcPr>
            <w:tcW w:w="1816" w:type="dxa"/>
          </w:tcPr>
          <w:p>
            <w:pPr>
              <w:pStyle w:val="TableParagraph"/>
              <w:spacing w:before="42"/>
              <w:ind w:left="583" w:right="577"/>
              <w:jc w:val="center"/>
              <w:rPr>
                <w:sz w:val="17"/>
              </w:rPr>
            </w:pPr>
            <w:r>
              <w:rPr>
                <w:w w:val="105"/>
                <w:sz w:val="17"/>
              </w:rPr>
              <w:t>8,33</w:t>
            </w:r>
          </w:p>
        </w:tc>
      </w:tr>
      <w:tr>
        <w:trPr>
          <w:trHeight w:val="287" w:hRule="atLeast"/>
        </w:trPr>
        <w:tc>
          <w:tcPr>
            <w:tcW w:w="5025" w:type="dxa"/>
          </w:tcPr>
          <w:p>
            <w:pPr>
              <w:pStyle w:val="TableParagraph"/>
              <w:spacing w:before="42"/>
              <w:ind w:left="73"/>
              <w:jc w:val="left"/>
              <w:rPr>
                <w:sz w:val="17"/>
              </w:rPr>
            </w:pPr>
            <w:r>
              <w:rPr>
                <w:w w:val="105"/>
                <w:sz w:val="17"/>
              </w:rPr>
              <w:t>Otro inmovilizado</w:t>
            </w:r>
          </w:p>
        </w:tc>
        <w:tc>
          <w:tcPr>
            <w:tcW w:w="1810" w:type="dxa"/>
          </w:tcPr>
          <w:p>
            <w:pPr>
              <w:pStyle w:val="TableParagraph"/>
              <w:spacing w:before="42"/>
              <w:ind w:left="691" w:right="684"/>
              <w:jc w:val="center"/>
              <w:rPr>
                <w:sz w:val="17"/>
              </w:rPr>
            </w:pPr>
            <w:r>
              <w:rPr>
                <w:w w:val="105"/>
                <w:sz w:val="17"/>
              </w:rPr>
              <w:t>10</w:t>
            </w:r>
          </w:p>
        </w:tc>
        <w:tc>
          <w:tcPr>
            <w:tcW w:w="1816" w:type="dxa"/>
          </w:tcPr>
          <w:p>
            <w:pPr>
              <w:pStyle w:val="TableParagraph"/>
              <w:spacing w:before="42"/>
              <w:ind w:left="585" w:right="570"/>
              <w:jc w:val="center"/>
              <w:rPr>
                <w:sz w:val="17"/>
              </w:rPr>
            </w:pPr>
            <w:r>
              <w:rPr>
                <w:w w:val="105"/>
                <w:sz w:val="17"/>
              </w:rPr>
              <w:t>10</w:t>
            </w:r>
          </w:p>
        </w:tc>
      </w:tr>
    </w:tbl>
    <w:p>
      <w:pPr>
        <w:pStyle w:val="BodyText"/>
        <w:spacing w:before="1"/>
        <w:rPr>
          <w:sz w:val="14"/>
        </w:rPr>
      </w:pPr>
    </w:p>
    <w:p>
      <w:pPr>
        <w:pStyle w:val="BodyText"/>
        <w:spacing w:line="300" w:lineRule="auto"/>
        <w:ind w:left="403" w:right="413"/>
        <w:jc w:val="both"/>
      </w:pPr>
      <w:r>
        <w:rPr>
          <w:w w:val="105"/>
        </w:rPr>
        <w:t>Los arrendamientos se clasifican como arrendamientos financieros siempre que de las condiciones de los mismos se deduzca que se transfieren al arrendatario sustancialmente los riesgos y beneficios inherentes a la propiedad del activo objeto del contrato. Los demás arrendamientos se clasifican como arrendamientos operativos.</w:t>
      </w:r>
    </w:p>
    <w:p>
      <w:pPr>
        <w:pStyle w:val="BodyText"/>
        <w:spacing w:line="300" w:lineRule="auto" w:before="123"/>
        <w:ind w:left="403" w:right="408"/>
        <w:jc w:val="both"/>
      </w:pPr>
      <w:r>
        <w:rPr>
          <w:w w:val="105"/>
        </w:rPr>
        <w:t>La normativa vigente establece que el coste </w:t>
      </w:r>
      <w:r>
        <w:rPr>
          <w:spacing w:val="2"/>
          <w:w w:val="105"/>
        </w:rPr>
        <w:t>de </w:t>
      </w:r>
      <w:r>
        <w:rPr>
          <w:w w:val="105"/>
        </w:rPr>
        <w:t>los bienes arrendados se contabilizará en el balance de situación según la naturaleza del bien objeto del contrato y, simultáneamente, un pasivo por el mismo importe. Este importe será el menor entre el valor razonable del bien arrendado y el valor actual al inicio del arrendamiento de las cantidades mínimas acordadas, incluida la opción </w:t>
      </w:r>
      <w:r>
        <w:rPr>
          <w:spacing w:val="2"/>
          <w:w w:val="105"/>
        </w:rPr>
        <w:t>de </w:t>
      </w:r>
      <w:r>
        <w:rPr>
          <w:w w:val="105"/>
        </w:rPr>
        <w:t>compra, cuando </w:t>
      </w:r>
      <w:r>
        <w:rPr>
          <w:spacing w:val="2"/>
          <w:w w:val="105"/>
        </w:rPr>
        <w:t>no </w:t>
      </w:r>
      <w:r>
        <w:rPr>
          <w:w w:val="105"/>
        </w:rPr>
        <w:t>existan dudas razonables sobre  su</w:t>
      </w:r>
      <w:r>
        <w:rPr>
          <w:spacing w:val="40"/>
          <w:w w:val="105"/>
        </w:rPr>
        <w:t> </w:t>
      </w:r>
      <w:r>
        <w:rPr>
          <w:w w:val="105"/>
        </w:rPr>
        <w:t>ejercicio. No se incluirán en su cálculo las cuotas de carácter contingente, el coste </w:t>
      </w:r>
      <w:r>
        <w:rPr>
          <w:spacing w:val="2"/>
          <w:w w:val="105"/>
        </w:rPr>
        <w:t>de </w:t>
      </w:r>
      <w:r>
        <w:rPr>
          <w:w w:val="105"/>
        </w:rPr>
        <w:t>los servicios y los impuestos repercutibles por el</w:t>
      </w:r>
      <w:r>
        <w:rPr>
          <w:spacing w:val="8"/>
          <w:w w:val="105"/>
        </w:rPr>
        <w:t> </w:t>
      </w:r>
      <w:r>
        <w:rPr>
          <w:w w:val="105"/>
        </w:rPr>
        <w:t>arrendador.</w:t>
      </w:r>
    </w:p>
    <w:p>
      <w:pPr>
        <w:pStyle w:val="BodyText"/>
        <w:spacing w:line="304" w:lineRule="auto" w:before="118"/>
        <w:ind w:left="403" w:right="412"/>
        <w:jc w:val="both"/>
      </w:pPr>
      <w:r>
        <w:rPr>
          <w:w w:val="105"/>
        </w:rPr>
        <w:t>En los arrendamientos financieros </w:t>
      </w:r>
      <w:r>
        <w:rPr>
          <w:spacing w:val="4"/>
          <w:w w:val="105"/>
        </w:rPr>
        <w:t>se </w:t>
      </w:r>
      <w:r>
        <w:rPr>
          <w:w w:val="105"/>
        </w:rPr>
        <w:t>contabiliza el activo </w:t>
      </w:r>
      <w:r>
        <w:rPr>
          <w:spacing w:val="2"/>
          <w:w w:val="105"/>
        </w:rPr>
        <w:t>de </w:t>
      </w:r>
      <w:r>
        <w:rPr>
          <w:w w:val="105"/>
        </w:rPr>
        <w:t>acuerdo con </w:t>
      </w:r>
      <w:r>
        <w:rPr>
          <w:spacing w:val="4"/>
          <w:w w:val="105"/>
        </w:rPr>
        <w:t>su </w:t>
      </w:r>
      <w:r>
        <w:rPr>
          <w:w w:val="105"/>
        </w:rPr>
        <w:t>naturaleza, y un  pasivo financiero por el mismo importe, que es el menor entre el valor razonable del activo arrendado y el valor actual al inicio del arrendamiento </w:t>
      </w:r>
      <w:r>
        <w:rPr>
          <w:spacing w:val="2"/>
          <w:w w:val="105"/>
        </w:rPr>
        <w:t>de </w:t>
      </w:r>
      <w:r>
        <w:rPr>
          <w:w w:val="105"/>
        </w:rPr>
        <w:t>los pagos mínimos acordados. Los intereses </w:t>
      </w:r>
      <w:r>
        <w:rPr>
          <w:spacing w:val="4"/>
          <w:w w:val="105"/>
        </w:rPr>
        <w:t>se </w:t>
      </w:r>
      <w:r>
        <w:rPr>
          <w:w w:val="105"/>
        </w:rPr>
        <w:t>incorporan directamente como gastos a medida que </w:t>
      </w:r>
      <w:r>
        <w:rPr>
          <w:spacing w:val="4"/>
          <w:w w:val="105"/>
        </w:rPr>
        <w:t>se </w:t>
      </w:r>
      <w:r>
        <w:rPr>
          <w:w w:val="105"/>
        </w:rPr>
        <w:t>van liquidando las cuotas</w:t>
      </w:r>
      <w:r>
        <w:rPr>
          <w:spacing w:val="-1"/>
          <w:w w:val="105"/>
        </w:rPr>
        <w:t> </w:t>
      </w:r>
      <w:r>
        <w:rPr>
          <w:w w:val="105"/>
        </w:rPr>
        <w:t>correspondientes.</w:t>
      </w:r>
    </w:p>
    <w:p>
      <w:pPr>
        <w:spacing w:after="0" w:line="304" w:lineRule="auto"/>
        <w:jc w:val="both"/>
        <w:sectPr>
          <w:pgSz w:w="11920" w:h="16850"/>
          <w:pgMar w:header="735" w:footer="891" w:top="1600" w:bottom="1080" w:left="1300" w:right="1300"/>
        </w:sectPr>
      </w:pPr>
    </w:p>
    <w:p>
      <w:pPr>
        <w:pStyle w:val="BodyText"/>
        <w:spacing w:line="302" w:lineRule="auto" w:before="147"/>
        <w:ind w:left="403" w:right="417"/>
        <w:jc w:val="both"/>
      </w:pPr>
      <w:r>
        <w:rPr>
          <w:w w:val="105"/>
        </w:rPr>
        <w:t>Los activos registrados por este tipo </w:t>
      </w:r>
      <w:r>
        <w:rPr>
          <w:spacing w:val="2"/>
          <w:w w:val="105"/>
        </w:rPr>
        <w:t>de </w:t>
      </w:r>
      <w:r>
        <w:rPr>
          <w:w w:val="105"/>
        </w:rPr>
        <w:t>operaciones se amortizan con criterios similares a los aplicados al conjunto de los activos materiales, atendiendo a su</w:t>
      </w:r>
      <w:r>
        <w:rPr>
          <w:spacing w:val="7"/>
          <w:w w:val="105"/>
        </w:rPr>
        <w:t> </w:t>
      </w:r>
      <w:r>
        <w:rPr>
          <w:w w:val="105"/>
        </w:rPr>
        <w:t>naturaleza.</w:t>
      </w:r>
    </w:p>
    <w:p>
      <w:pPr>
        <w:pStyle w:val="BodyText"/>
        <w:spacing w:line="300" w:lineRule="auto" w:before="122"/>
        <w:ind w:left="403" w:right="403"/>
        <w:jc w:val="both"/>
      </w:pPr>
      <w:r>
        <w:rPr>
          <w:w w:val="105"/>
        </w:rPr>
        <w:t>La Sociedad evalúa al menos al cierre de cada ejercicio si existen indicios </w:t>
      </w:r>
      <w:r>
        <w:rPr>
          <w:spacing w:val="2"/>
          <w:w w:val="105"/>
        </w:rPr>
        <w:t>de </w:t>
      </w:r>
      <w:r>
        <w:rPr>
          <w:w w:val="105"/>
        </w:rPr>
        <w:t>pérdidas por deterioro de valor </w:t>
      </w:r>
      <w:r>
        <w:rPr>
          <w:spacing w:val="2"/>
          <w:w w:val="105"/>
        </w:rPr>
        <w:t>de </w:t>
      </w:r>
      <w:r>
        <w:rPr>
          <w:w w:val="105"/>
        </w:rPr>
        <w:t>su inmovilizado material, que reduzcan el valor recuperable </w:t>
      </w:r>
      <w:r>
        <w:rPr>
          <w:spacing w:val="2"/>
          <w:w w:val="105"/>
        </w:rPr>
        <w:t>de </w:t>
      </w:r>
      <w:r>
        <w:rPr>
          <w:w w:val="105"/>
        </w:rPr>
        <w:t>dichos activos a </w:t>
      </w:r>
      <w:r>
        <w:rPr>
          <w:spacing w:val="2"/>
          <w:w w:val="105"/>
        </w:rPr>
        <w:t>un </w:t>
      </w:r>
      <w:r>
        <w:rPr>
          <w:w w:val="105"/>
        </w:rPr>
        <w:t>importe inf erior al de su valor en libros. Si existe cualquier indicio, se estima el valor recuperable del activo con el objeto de determinar el alcance de la eventual pérdida por deterioro </w:t>
      </w:r>
      <w:r>
        <w:rPr>
          <w:spacing w:val="2"/>
          <w:w w:val="105"/>
        </w:rPr>
        <w:t>de </w:t>
      </w:r>
      <w:r>
        <w:rPr>
          <w:w w:val="105"/>
        </w:rPr>
        <w:t>valor. En caso de que el activo no genere flujos de efectivo que sean independientes de otros activos o grupos de activos, la Sociedad calcula el valor recuperable </w:t>
      </w:r>
      <w:r>
        <w:rPr>
          <w:spacing w:val="2"/>
          <w:w w:val="105"/>
        </w:rPr>
        <w:t>de </w:t>
      </w:r>
      <w:r>
        <w:rPr>
          <w:w w:val="105"/>
        </w:rPr>
        <w:t>la</w:t>
      </w:r>
      <w:r>
        <w:rPr>
          <w:spacing w:val="40"/>
          <w:w w:val="105"/>
        </w:rPr>
        <w:t> </w:t>
      </w:r>
      <w:r>
        <w:rPr>
          <w:w w:val="105"/>
        </w:rPr>
        <w:t>unidad generadora </w:t>
      </w:r>
      <w:r>
        <w:rPr>
          <w:spacing w:val="2"/>
          <w:w w:val="105"/>
        </w:rPr>
        <w:t>de </w:t>
      </w:r>
      <w:r>
        <w:rPr>
          <w:w w:val="105"/>
        </w:rPr>
        <w:t>efectivo (UGE) a la que pertenece el</w:t>
      </w:r>
      <w:r>
        <w:rPr>
          <w:spacing w:val="11"/>
          <w:w w:val="105"/>
        </w:rPr>
        <w:t> </w:t>
      </w:r>
      <w:r>
        <w:rPr>
          <w:w w:val="105"/>
        </w:rPr>
        <w:t>activo.</w:t>
      </w:r>
    </w:p>
    <w:p>
      <w:pPr>
        <w:pStyle w:val="BodyText"/>
        <w:spacing w:line="300" w:lineRule="auto" w:before="126"/>
        <w:ind w:left="403" w:right="408"/>
        <w:jc w:val="both"/>
      </w:pPr>
      <w:r>
        <w:rPr>
          <w:w w:val="105"/>
        </w:rPr>
        <w:t>El valor recuperable de los activos es el mayor entre su valor razonable menos los costes de venta y su valor en uso. La determinación del valor en uso se realiza en función de los flujos de efectivo futuros esperados que se derivarán de la utilización del activo, las expectativas sobre posibles variaciones en el importe o distribución temporal de los flujos, el valor temporal del dinero, el precio a satisfacer por soportar la incertidumbre relacionada con el activo y otros factores que los partícipes del mercado considerarían en la valoración de los flujos de efectivo futuros relacionados con el activo.</w:t>
      </w:r>
    </w:p>
    <w:p>
      <w:pPr>
        <w:pStyle w:val="BodyText"/>
        <w:spacing w:line="304" w:lineRule="auto" w:before="118"/>
        <w:ind w:left="403" w:right="410"/>
        <w:jc w:val="both"/>
      </w:pPr>
      <w:r>
        <w:rPr>
          <w:w w:val="105"/>
        </w:rPr>
        <w:t>En el caso de que el importe recuperable estimado sea inferior al valor neto en libros del activo, se registra la correspondiente pérdida por deterioro con cargo a la cuenta de pérdidas y ganancias, reduciendo el valor en libros del activo a su importe recuperable.</w:t>
      </w:r>
    </w:p>
    <w:p>
      <w:pPr>
        <w:pStyle w:val="BodyText"/>
        <w:spacing w:line="304" w:lineRule="auto" w:before="111"/>
        <w:ind w:left="403" w:right="411"/>
        <w:jc w:val="both"/>
      </w:pPr>
      <w:r>
        <w:rPr>
          <w:w w:val="105"/>
        </w:rPr>
        <w:t>Una vez reconocida la corrección valorativa por deterioro o su reversión, se ajustan las amortizaciones de los ejercicios siguientes considerando el nuevo valor contable.</w:t>
      </w:r>
    </w:p>
    <w:p>
      <w:pPr>
        <w:pStyle w:val="BodyText"/>
        <w:spacing w:line="304" w:lineRule="auto" w:before="111"/>
        <w:ind w:left="403" w:right="407"/>
        <w:jc w:val="both"/>
      </w:pPr>
      <w:r>
        <w:rPr>
          <w:w w:val="105"/>
        </w:rPr>
        <w:t>No obstante lo anterior, si de las circunstancias específicas de los activos se pone de manifiesto una pérdida de carácter irreversible, ésta se reconoce directamente en pérdidas procedentes del inmovilizado de la cuenta de pérdidas y ganancias.</w:t>
      </w:r>
    </w:p>
    <w:p>
      <w:pPr>
        <w:pStyle w:val="BodyText"/>
        <w:spacing w:before="118"/>
        <w:ind w:left="403"/>
        <w:jc w:val="both"/>
      </w:pPr>
      <w:r>
        <w:rPr>
          <w:w w:val="105"/>
        </w:rPr>
        <w:t>En el ejercicio 2024 la Sociedad no ha registrado pérdidas por deterioro de los inmovilizados materiales.</w:t>
      </w:r>
    </w:p>
    <w:p>
      <w:pPr>
        <w:pStyle w:val="BodyText"/>
        <w:spacing w:before="10"/>
        <w:rPr>
          <w:sz w:val="13"/>
        </w:rPr>
      </w:pPr>
    </w:p>
    <w:p>
      <w:pPr>
        <w:pStyle w:val="Heading4"/>
        <w:numPr>
          <w:ilvl w:val="1"/>
          <w:numId w:val="1"/>
        </w:numPr>
        <w:tabs>
          <w:tab w:pos="729" w:val="left" w:leader="none"/>
        </w:tabs>
        <w:spacing w:line="240" w:lineRule="auto" w:before="0" w:after="0"/>
        <w:ind w:left="729" w:right="0" w:hanging="326"/>
        <w:jc w:val="left"/>
        <w:rPr>
          <w:i/>
        </w:rPr>
      </w:pPr>
      <w:r>
        <w:rPr>
          <w:i/>
          <w:w w:val="105"/>
        </w:rPr>
        <w:t>Inversiones</w:t>
      </w:r>
      <w:r>
        <w:rPr>
          <w:i/>
          <w:spacing w:val="2"/>
          <w:w w:val="105"/>
        </w:rPr>
        <w:t> </w:t>
      </w:r>
      <w:r>
        <w:rPr>
          <w:i/>
          <w:w w:val="105"/>
        </w:rPr>
        <w:t>Inmobiliarias.</w:t>
      </w:r>
    </w:p>
    <w:p>
      <w:pPr>
        <w:pStyle w:val="BodyText"/>
        <w:spacing w:before="133"/>
        <w:ind w:left="403"/>
        <w:jc w:val="both"/>
      </w:pPr>
      <w:r>
        <w:rPr>
          <w:w w:val="105"/>
        </w:rPr>
        <w:t>La Sociedad no posee inversiones inmobiliarias.</w:t>
      </w:r>
    </w:p>
    <w:p>
      <w:pPr>
        <w:pStyle w:val="Heading4"/>
        <w:numPr>
          <w:ilvl w:val="1"/>
          <w:numId w:val="1"/>
        </w:numPr>
        <w:tabs>
          <w:tab w:pos="729" w:val="left" w:leader="none"/>
        </w:tabs>
        <w:spacing w:line="240" w:lineRule="auto" w:before="162" w:after="0"/>
        <w:ind w:left="729" w:right="0" w:hanging="326"/>
        <w:jc w:val="left"/>
        <w:rPr>
          <w:i/>
        </w:rPr>
      </w:pPr>
      <w:r>
        <w:rPr>
          <w:i/>
          <w:w w:val="105"/>
        </w:rPr>
        <w:t>Permutas.</w:t>
      </w:r>
    </w:p>
    <w:p>
      <w:pPr>
        <w:pStyle w:val="BodyText"/>
        <w:spacing w:line="376" w:lineRule="auto" w:before="133"/>
        <w:ind w:left="403" w:right="483"/>
      </w:pPr>
      <w:r>
        <w:rPr>
          <w:w w:val="105"/>
        </w:rPr>
        <w:t>La Sociedad no ha registrado durante el ejercicio ni presenta bienes en balance derivados de operaciones de permuta.</w:t>
      </w:r>
    </w:p>
    <w:p>
      <w:pPr>
        <w:pStyle w:val="Heading4"/>
        <w:numPr>
          <w:ilvl w:val="1"/>
          <w:numId w:val="1"/>
        </w:numPr>
        <w:tabs>
          <w:tab w:pos="729" w:val="left" w:leader="none"/>
        </w:tabs>
        <w:spacing w:line="240" w:lineRule="auto" w:before="51" w:after="0"/>
        <w:ind w:left="729" w:right="0" w:hanging="326"/>
        <w:jc w:val="left"/>
        <w:rPr>
          <w:i/>
        </w:rPr>
      </w:pPr>
      <w:r>
        <w:rPr>
          <w:i/>
          <w:w w:val="105"/>
        </w:rPr>
        <w:t>Instrumentos</w:t>
      </w:r>
      <w:r>
        <w:rPr>
          <w:i/>
          <w:spacing w:val="1"/>
          <w:w w:val="105"/>
        </w:rPr>
        <w:t> </w:t>
      </w:r>
      <w:r>
        <w:rPr>
          <w:i/>
          <w:w w:val="105"/>
        </w:rPr>
        <w:t>financieros.</w:t>
      </w:r>
    </w:p>
    <w:p>
      <w:pPr>
        <w:pStyle w:val="BodyText"/>
        <w:spacing w:before="9"/>
        <w:rPr>
          <w:b/>
          <w:i/>
          <w:sz w:val="13"/>
        </w:rPr>
      </w:pPr>
    </w:p>
    <w:p>
      <w:pPr>
        <w:pStyle w:val="BodyText"/>
        <w:spacing w:line="300" w:lineRule="auto" w:before="1"/>
        <w:ind w:left="403" w:right="407"/>
        <w:jc w:val="both"/>
      </w:pPr>
      <w:r>
        <w:rPr>
          <w:w w:val="105"/>
        </w:rPr>
        <w:t>La Sociedad tiene registrados en el capitulo de instrumentos financieros, aquellos contratos </w:t>
      </w:r>
      <w:r>
        <w:rPr>
          <w:spacing w:val="3"/>
          <w:w w:val="105"/>
        </w:rPr>
        <w:t>que </w:t>
      </w:r>
      <w:r>
        <w:rPr>
          <w:w w:val="105"/>
        </w:rPr>
        <w:t>dan lugar a </w:t>
      </w:r>
      <w:r>
        <w:rPr>
          <w:spacing w:val="2"/>
          <w:w w:val="105"/>
        </w:rPr>
        <w:t>un </w:t>
      </w:r>
      <w:r>
        <w:rPr>
          <w:w w:val="105"/>
        </w:rPr>
        <w:t>activo financiero en una empresa y, simultáneamente, a un pasivo financiero o a un instrumento de patrimonio en otra empresa. Se consideran, por tanto instrumentos financieros, los siguientes. La presente norma resulta de aplicación a los</w:t>
      </w:r>
      <w:r>
        <w:rPr>
          <w:spacing w:val="6"/>
          <w:w w:val="105"/>
        </w:rPr>
        <w:t> </w:t>
      </w:r>
      <w:r>
        <w:rPr>
          <w:w w:val="105"/>
        </w:rPr>
        <w:t>siguientes.</w:t>
      </w:r>
    </w:p>
    <w:p>
      <w:pPr>
        <w:pStyle w:val="ListParagraph"/>
        <w:numPr>
          <w:ilvl w:val="0"/>
          <w:numId w:val="3"/>
        </w:numPr>
        <w:tabs>
          <w:tab w:pos="936" w:val="left" w:leader="none"/>
        </w:tabs>
        <w:spacing w:line="240" w:lineRule="auto" w:before="126" w:after="0"/>
        <w:ind w:left="935" w:right="0" w:hanging="185"/>
        <w:jc w:val="both"/>
        <w:rPr>
          <w:sz w:val="17"/>
        </w:rPr>
      </w:pPr>
      <w:r>
        <w:rPr>
          <w:w w:val="105"/>
          <w:sz w:val="17"/>
        </w:rPr>
        <w:t>Activos</w:t>
      </w:r>
      <w:r>
        <w:rPr>
          <w:spacing w:val="3"/>
          <w:w w:val="105"/>
          <w:sz w:val="17"/>
        </w:rPr>
        <w:t> </w:t>
      </w:r>
      <w:r>
        <w:rPr>
          <w:w w:val="105"/>
          <w:sz w:val="17"/>
        </w:rPr>
        <w:t>financieros:</w:t>
      </w:r>
    </w:p>
    <w:p>
      <w:pPr>
        <w:pStyle w:val="ListParagraph"/>
        <w:numPr>
          <w:ilvl w:val="1"/>
          <w:numId w:val="3"/>
        </w:numPr>
        <w:tabs>
          <w:tab w:pos="1114" w:val="left" w:leader="none"/>
        </w:tabs>
        <w:spacing w:line="240" w:lineRule="auto" w:before="160" w:after="0"/>
        <w:ind w:left="1113" w:right="0" w:hanging="221"/>
        <w:jc w:val="left"/>
        <w:rPr>
          <w:sz w:val="17"/>
        </w:rPr>
      </w:pPr>
      <w:r>
        <w:rPr>
          <w:w w:val="105"/>
          <w:sz w:val="17"/>
        </w:rPr>
        <w:t>Efectivo y otros activos líquidos</w:t>
      </w:r>
      <w:r>
        <w:rPr>
          <w:spacing w:val="8"/>
          <w:w w:val="105"/>
          <w:sz w:val="17"/>
        </w:rPr>
        <w:t> </w:t>
      </w:r>
      <w:r>
        <w:rPr>
          <w:w w:val="105"/>
          <w:sz w:val="17"/>
        </w:rPr>
        <w:t>equivalentes.</w:t>
      </w:r>
    </w:p>
    <w:p>
      <w:pPr>
        <w:pStyle w:val="ListParagraph"/>
        <w:numPr>
          <w:ilvl w:val="1"/>
          <w:numId w:val="3"/>
        </w:numPr>
        <w:tabs>
          <w:tab w:pos="1114" w:val="left" w:leader="none"/>
        </w:tabs>
        <w:spacing w:line="240" w:lineRule="auto" w:before="166" w:after="0"/>
        <w:ind w:left="1113" w:right="0" w:hanging="221"/>
        <w:jc w:val="left"/>
        <w:rPr>
          <w:sz w:val="17"/>
        </w:rPr>
      </w:pPr>
      <w:r>
        <w:rPr>
          <w:w w:val="105"/>
          <w:sz w:val="17"/>
        </w:rPr>
        <w:t>Créditos por operaciones comerciales: clientes y deudores</w:t>
      </w:r>
      <w:r>
        <w:rPr>
          <w:spacing w:val="23"/>
          <w:w w:val="105"/>
          <w:sz w:val="17"/>
        </w:rPr>
        <w:t> </w:t>
      </w:r>
      <w:r>
        <w:rPr>
          <w:w w:val="105"/>
          <w:sz w:val="17"/>
        </w:rPr>
        <w:t>varios;</w:t>
      </w:r>
    </w:p>
    <w:p>
      <w:pPr>
        <w:pStyle w:val="ListParagraph"/>
        <w:numPr>
          <w:ilvl w:val="1"/>
          <w:numId w:val="3"/>
        </w:numPr>
        <w:tabs>
          <w:tab w:pos="1114" w:val="left" w:leader="none"/>
        </w:tabs>
        <w:spacing w:line="302" w:lineRule="auto" w:before="159" w:after="0"/>
        <w:ind w:left="1113" w:right="413" w:hanging="220"/>
        <w:jc w:val="left"/>
        <w:rPr>
          <w:sz w:val="17"/>
        </w:rPr>
      </w:pPr>
      <w:r>
        <w:rPr>
          <w:w w:val="105"/>
          <w:sz w:val="17"/>
        </w:rPr>
        <w:t>Créditos a terceros: tales como los préstamos y créditos financieros concedidos, incluidos los surgidos de  la venta </w:t>
      </w:r>
      <w:r>
        <w:rPr>
          <w:spacing w:val="2"/>
          <w:w w:val="105"/>
          <w:sz w:val="17"/>
        </w:rPr>
        <w:t>de </w:t>
      </w:r>
      <w:r>
        <w:rPr>
          <w:w w:val="105"/>
          <w:sz w:val="17"/>
        </w:rPr>
        <w:t>activos </w:t>
      </w:r>
      <w:r>
        <w:rPr>
          <w:spacing w:val="2"/>
          <w:w w:val="105"/>
          <w:sz w:val="17"/>
        </w:rPr>
        <w:t>no </w:t>
      </w:r>
      <w:r>
        <w:rPr>
          <w:w w:val="105"/>
          <w:sz w:val="17"/>
        </w:rPr>
        <w:t>corrientes;</w:t>
      </w:r>
    </w:p>
    <w:p>
      <w:pPr>
        <w:pStyle w:val="ListParagraph"/>
        <w:numPr>
          <w:ilvl w:val="1"/>
          <w:numId w:val="3"/>
        </w:numPr>
        <w:tabs>
          <w:tab w:pos="1114" w:val="left" w:leader="none"/>
        </w:tabs>
        <w:spacing w:line="300" w:lineRule="auto" w:before="107" w:after="0"/>
        <w:ind w:left="1255" w:right="405" w:hanging="362"/>
        <w:jc w:val="left"/>
        <w:rPr>
          <w:sz w:val="17"/>
        </w:rPr>
      </w:pPr>
      <w:r>
        <w:rPr>
          <w:w w:val="105"/>
          <w:sz w:val="17"/>
        </w:rPr>
        <w:t>Valores representativos de deuda </w:t>
      </w:r>
      <w:r>
        <w:rPr>
          <w:spacing w:val="2"/>
          <w:w w:val="105"/>
          <w:sz w:val="17"/>
        </w:rPr>
        <w:t>de </w:t>
      </w:r>
      <w:r>
        <w:rPr>
          <w:w w:val="105"/>
          <w:sz w:val="17"/>
        </w:rPr>
        <w:t>otras empresas adquiridos: tales como las obligaciones, bonos y pagarés;</w:t>
      </w:r>
    </w:p>
    <w:p>
      <w:pPr>
        <w:pStyle w:val="ListParagraph"/>
        <w:numPr>
          <w:ilvl w:val="1"/>
          <w:numId w:val="3"/>
        </w:numPr>
        <w:tabs>
          <w:tab w:pos="1114" w:val="left" w:leader="none"/>
        </w:tabs>
        <w:spacing w:line="302" w:lineRule="auto" w:before="118" w:after="0"/>
        <w:ind w:left="1113" w:right="405" w:hanging="220"/>
        <w:jc w:val="left"/>
        <w:rPr>
          <w:sz w:val="17"/>
        </w:rPr>
      </w:pPr>
      <w:r>
        <w:rPr>
          <w:w w:val="105"/>
          <w:sz w:val="17"/>
        </w:rPr>
        <w:t>Instrumentos </w:t>
      </w:r>
      <w:r>
        <w:rPr>
          <w:spacing w:val="2"/>
          <w:w w:val="105"/>
          <w:sz w:val="17"/>
        </w:rPr>
        <w:t>de </w:t>
      </w:r>
      <w:r>
        <w:rPr>
          <w:w w:val="105"/>
          <w:sz w:val="17"/>
        </w:rPr>
        <w:t>patrimonio de otras empresas adquiridos: acciones, participaciones en instituciones </w:t>
      </w:r>
      <w:r>
        <w:rPr>
          <w:spacing w:val="2"/>
          <w:w w:val="105"/>
          <w:sz w:val="17"/>
        </w:rPr>
        <w:t>de </w:t>
      </w:r>
      <w:r>
        <w:rPr>
          <w:w w:val="105"/>
          <w:sz w:val="17"/>
        </w:rPr>
        <w:t>inversión colectiva y otros instrumentos </w:t>
      </w:r>
      <w:r>
        <w:rPr>
          <w:spacing w:val="2"/>
          <w:w w:val="105"/>
          <w:sz w:val="17"/>
        </w:rPr>
        <w:t>de</w:t>
      </w:r>
      <w:r>
        <w:rPr>
          <w:spacing w:val="5"/>
          <w:w w:val="105"/>
          <w:sz w:val="17"/>
        </w:rPr>
        <w:t> </w:t>
      </w:r>
      <w:r>
        <w:rPr>
          <w:w w:val="105"/>
          <w:sz w:val="17"/>
        </w:rPr>
        <w:t>patrimonio;</w:t>
      </w:r>
    </w:p>
    <w:p>
      <w:pPr>
        <w:spacing w:after="0" w:line="302" w:lineRule="auto"/>
        <w:jc w:val="left"/>
        <w:rPr>
          <w:sz w:val="17"/>
        </w:rPr>
        <w:sectPr>
          <w:pgSz w:w="11920" w:h="16850"/>
          <w:pgMar w:header="735" w:footer="891" w:top="1600" w:bottom="1080" w:left="1300" w:right="1300"/>
        </w:sectPr>
      </w:pPr>
    </w:p>
    <w:p>
      <w:pPr>
        <w:pStyle w:val="ListParagraph"/>
        <w:numPr>
          <w:ilvl w:val="1"/>
          <w:numId w:val="3"/>
        </w:numPr>
        <w:tabs>
          <w:tab w:pos="1114" w:val="left" w:leader="none"/>
        </w:tabs>
        <w:spacing w:line="300" w:lineRule="auto" w:before="138" w:after="0"/>
        <w:ind w:left="1113" w:right="407" w:hanging="220"/>
        <w:jc w:val="both"/>
        <w:rPr>
          <w:sz w:val="17"/>
        </w:rPr>
      </w:pPr>
      <w:r>
        <w:rPr>
          <w:w w:val="105"/>
          <w:sz w:val="17"/>
        </w:rPr>
        <w:t>Derivados </w:t>
      </w:r>
      <w:r>
        <w:rPr>
          <w:spacing w:val="2"/>
          <w:w w:val="105"/>
          <w:sz w:val="17"/>
        </w:rPr>
        <w:t>con </w:t>
      </w:r>
      <w:r>
        <w:rPr>
          <w:w w:val="105"/>
          <w:sz w:val="17"/>
        </w:rPr>
        <w:t>valoración favorable para la empresa: entre ellos, futuros, opciones, permutas financieras y compraventa </w:t>
      </w:r>
      <w:r>
        <w:rPr>
          <w:spacing w:val="2"/>
          <w:w w:val="105"/>
          <w:sz w:val="17"/>
        </w:rPr>
        <w:t>de </w:t>
      </w:r>
      <w:r>
        <w:rPr>
          <w:w w:val="105"/>
          <w:sz w:val="17"/>
        </w:rPr>
        <w:t>moneda extranjera a plazo,</w:t>
      </w:r>
      <w:r>
        <w:rPr>
          <w:spacing w:val="10"/>
          <w:w w:val="105"/>
          <w:sz w:val="17"/>
        </w:rPr>
        <w:t> </w:t>
      </w:r>
      <w:r>
        <w:rPr>
          <w:w w:val="105"/>
          <w:sz w:val="17"/>
        </w:rPr>
        <w:t>y</w:t>
      </w:r>
    </w:p>
    <w:p>
      <w:pPr>
        <w:pStyle w:val="ListParagraph"/>
        <w:numPr>
          <w:ilvl w:val="1"/>
          <w:numId w:val="3"/>
        </w:numPr>
        <w:tabs>
          <w:tab w:pos="1114" w:val="left" w:leader="none"/>
        </w:tabs>
        <w:spacing w:line="297" w:lineRule="auto" w:before="117" w:after="0"/>
        <w:ind w:left="1113" w:right="405" w:hanging="220"/>
        <w:jc w:val="both"/>
        <w:rPr>
          <w:sz w:val="17"/>
        </w:rPr>
      </w:pPr>
      <w:r>
        <w:rPr>
          <w:w w:val="105"/>
          <w:sz w:val="17"/>
        </w:rPr>
        <w:t>Otros activos financieros: tales como depósitos en entidades de crédito, anticipos y créditos al personal, fianzas y depósitos constituidos, dividendos a cobrar y desembolsos exigidos sobre instrumentos </w:t>
      </w:r>
      <w:r>
        <w:rPr>
          <w:spacing w:val="2"/>
          <w:w w:val="105"/>
          <w:sz w:val="17"/>
        </w:rPr>
        <w:t>de </w:t>
      </w:r>
      <w:r>
        <w:rPr>
          <w:w w:val="105"/>
          <w:sz w:val="17"/>
        </w:rPr>
        <w:t>patrimonio propio.</w:t>
      </w:r>
    </w:p>
    <w:p>
      <w:pPr>
        <w:pStyle w:val="ListParagraph"/>
        <w:numPr>
          <w:ilvl w:val="0"/>
          <w:numId w:val="3"/>
        </w:numPr>
        <w:tabs>
          <w:tab w:pos="943" w:val="left" w:leader="none"/>
        </w:tabs>
        <w:spacing w:line="240" w:lineRule="auto" w:before="129" w:after="0"/>
        <w:ind w:left="942" w:right="0" w:hanging="192"/>
        <w:jc w:val="both"/>
        <w:rPr>
          <w:sz w:val="17"/>
        </w:rPr>
      </w:pPr>
      <w:r>
        <w:rPr>
          <w:w w:val="105"/>
          <w:sz w:val="17"/>
        </w:rPr>
        <w:t>Pasivos</w:t>
      </w:r>
      <w:r>
        <w:rPr>
          <w:spacing w:val="3"/>
          <w:w w:val="105"/>
          <w:sz w:val="17"/>
        </w:rPr>
        <w:t> </w:t>
      </w:r>
      <w:r>
        <w:rPr>
          <w:w w:val="105"/>
          <w:sz w:val="17"/>
        </w:rPr>
        <w:t>financieros:</w:t>
      </w:r>
    </w:p>
    <w:p>
      <w:pPr>
        <w:pStyle w:val="ListParagraph"/>
        <w:numPr>
          <w:ilvl w:val="1"/>
          <w:numId w:val="3"/>
        </w:numPr>
        <w:tabs>
          <w:tab w:pos="1114" w:val="left" w:leader="none"/>
        </w:tabs>
        <w:spacing w:line="240" w:lineRule="auto" w:before="160" w:after="0"/>
        <w:ind w:left="1113" w:right="0" w:hanging="221"/>
        <w:jc w:val="left"/>
        <w:rPr>
          <w:sz w:val="17"/>
        </w:rPr>
      </w:pPr>
      <w:r>
        <w:rPr>
          <w:w w:val="105"/>
          <w:sz w:val="17"/>
        </w:rPr>
        <w:t>Débitos por operaciones comerciales: proveedores y acreedores</w:t>
      </w:r>
      <w:r>
        <w:rPr>
          <w:spacing w:val="16"/>
          <w:w w:val="105"/>
          <w:sz w:val="17"/>
        </w:rPr>
        <w:t> </w:t>
      </w:r>
      <w:r>
        <w:rPr>
          <w:w w:val="105"/>
          <w:sz w:val="17"/>
        </w:rPr>
        <w:t>varios;</w:t>
      </w:r>
    </w:p>
    <w:p>
      <w:pPr>
        <w:pStyle w:val="ListParagraph"/>
        <w:numPr>
          <w:ilvl w:val="1"/>
          <w:numId w:val="3"/>
        </w:numPr>
        <w:tabs>
          <w:tab w:pos="1114" w:val="left" w:leader="none"/>
        </w:tabs>
        <w:spacing w:line="240" w:lineRule="auto" w:before="167" w:after="0"/>
        <w:ind w:left="1113" w:right="0" w:hanging="221"/>
        <w:jc w:val="left"/>
        <w:rPr>
          <w:sz w:val="17"/>
        </w:rPr>
      </w:pPr>
      <w:r>
        <w:rPr>
          <w:w w:val="105"/>
          <w:sz w:val="17"/>
        </w:rPr>
        <w:t>Deudas con entidades de</w:t>
      </w:r>
      <w:r>
        <w:rPr>
          <w:spacing w:val="11"/>
          <w:w w:val="105"/>
          <w:sz w:val="17"/>
        </w:rPr>
        <w:t> </w:t>
      </w:r>
      <w:r>
        <w:rPr>
          <w:w w:val="105"/>
          <w:sz w:val="17"/>
        </w:rPr>
        <w:t>crédito;</w:t>
      </w:r>
    </w:p>
    <w:p>
      <w:pPr>
        <w:pStyle w:val="ListParagraph"/>
        <w:numPr>
          <w:ilvl w:val="1"/>
          <w:numId w:val="3"/>
        </w:numPr>
        <w:tabs>
          <w:tab w:pos="1114" w:val="left" w:leader="none"/>
        </w:tabs>
        <w:spacing w:line="240" w:lineRule="auto" w:before="166" w:after="0"/>
        <w:ind w:left="1113" w:right="0" w:hanging="221"/>
        <w:jc w:val="left"/>
        <w:rPr>
          <w:sz w:val="17"/>
        </w:rPr>
      </w:pPr>
      <w:r>
        <w:rPr>
          <w:w w:val="105"/>
          <w:sz w:val="17"/>
        </w:rPr>
        <w:t>Obligaciones y otros valores negociables emitidos: tales como bonos y</w:t>
      </w:r>
      <w:r>
        <w:rPr>
          <w:spacing w:val="23"/>
          <w:w w:val="105"/>
          <w:sz w:val="17"/>
        </w:rPr>
        <w:t> </w:t>
      </w:r>
      <w:r>
        <w:rPr>
          <w:w w:val="105"/>
          <w:sz w:val="17"/>
        </w:rPr>
        <w:t>pagarés;</w:t>
      </w:r>
    </w:p>
    <w:p>
      <w:pPr>
        <w:pStyle w:val="ListParagraph"/>
        <w:numPr>
          <w:ilvl w:val="1"/>
          <w:numId w:val="3"/>
        </w:numPr>
        <w:tabs>
          <w:tab w:pos="1114" w:val="left" w:leader="none"/>
        </w:tabs>
        <w:spacing w:line="302" w:lineRule="auto" w:before="160" w:after="0"/>
        <w:ind w:left="1113" w:right="409" w:hanging="220"/>
        <w:jc w:val="both"/>
        <w:rPr>
          <w:sz w:val="17"/>
        </w:rPr>
      </w:pPr>
      <w:r>
        <w:rPr>
          <w:w w:val="105"/>
          <w:sz w:val="17"/>
        </w:rPr>
        <w:t>Derivados con valoración desfavorable para la empresa: entre ellos, futuros, opciones, permutas financieras y compraventa </w:t>
      </w:r>
      <w:r>
        <w:rPr>
          <w:spacing w:val="2"/>
          <w:w w:val="105"/>
          <w:sz w:val="17"/>
        </w:rPr>
        <w:t>de </w:t>
      </w:r>
      <w:r>
        <w:rPr>
          <w:w w:val="105"/>
          <w:sz w:val="17"/>
        </w:rPr>
        <w:t>moneda extranjera a</w:t>
      </w:r>
      <w:r>
        <w:rPr>
          <w:spacing w:val="5"/>
          <w:w w:val="105"/>
          <w:sz w:val="17"/>
        </w:rPr>
        <w:t> </w:t>
      </w:r>
      <w:r>
        <w:rPr>
          <w:w w:val="105"/>
          <w:sz w:val="17"/>
        </w:rPr>
        <w:t>plazo;</w:t>
      </w:r>
    </w:p>
    <w:p>
      <w:pPr>
        <w:pStyle w:val="ListParagraph"/>
        <w:numPr>
          <w:ilvl w:val="1"/>
          <w:numId w:val="3"/>
        </w:numPr>
        <w:tabs>
          <w:tab w:pos="1114" w:val="left" w:leader="none"/>
        </w:tabs>
        <w:spacing w:line="240" w:lineRule="auto" w:before="106" w:after="0"/>
        <w:ind w:left="1113" w:right="0" w:hanging="221"/>
        <w:jc w:val="left"/>
        <w:rPr>
          <w:sz w:val="17"/>
        </w:rPr>
      </w:pPr>
      <w:r>
        <w:rPr>
          <w:w w:val="105"/>
          <w:sz w:val="17"/>
        </w:rPr>
        <w:t>Deudas con características especiales,</w:t>
      </w:r>
      <w:r>
        <w:rPr>
          <w:spacing w:val="6"/>
          <w:w w:val="105"/>
          <w:sz w:val="17"/>
        </w:rPr>
        <w:t> </w:t>
      </w:r>
      <w:r>
        <w:rPr>
          <w:w w:val="105"/>
          <w:sz w:val="17"/>
        </w:rPr>
        <w:t>y</w:t>
      </w:r>
    </w:p>
    <w:p>
      <w:pPr>
        <w:pStyle w:val="ListParagraph"/>
        <w:numPr>
          <w:ilvl w:val="1"/>
          <w:numId w:val="3"/>
        </w:numPr>
        <w:tabs>
          <w:tab w:pos="1114" w:val="left" w:leader="none"/>
        </w:tabs>
        <w:spacing w:line="297" w:lineRule="auto" w:before="167" w:after="0"/>
        <w:ind w:left="1113" w:right="409" w:hanging="220"/>
        <w:jc w:val="both"/>
        <w:rPr>
          <w:sz w:val="17"/>
        </w:rPr>
      </w:pPr>
      <w:r>
        <w:rPr>
          <w:w w:val="105"/>
          <w:sz w:val="17"/>
        </w:rPr>
        <w:t>Otros pasivos financieros: deudas con terceros, tales como los préstamos y créditos financieros recibidos de personas o empresas que no sean entidades </w:t>
      </w:r>
      <w:r>
        <w:rPr>
          <w:spacing w:val="2"/>
          <w:w w:val="105"/>
          <w:sz w:val="17"/>
        </w:rPr>
        <w:t>de </w:t>
      </w:r>
      <w:r>
        <w:rPr>
          <w:w w:val="105"/>
          <w:sz w:val="17"/>
        </w:rPr>
        <w:t>crédito incluidos los surgidos en la compra de activos</w:t>
      </w:r>
      <w:r>
        <w:rPr>
          <w:spacing w:val="40"/>
          <w:w w:val="105"/>
          <w:sz w:val="17"/>
        </w:rPr>
        <w:t> </w:t>
      </w:r>
      <w:r>
        <w:rPr>
          <w:w w:val="105"/>
          <w:sz w:val="17"/>
        </w:rPr>
        <w:t>no corrientes, fianzas y depósitos recibidos y desembolsos exigidos por terceros sobre</w:t>
      </w:r>
      <w:r>
        <w:rPr>
          <w:spacing w:val="8"/>
          <w:w w:val="105"/>
          <w:sz w:val="17"/>
        </w:rPr>
        <w:t> </w:t>
      </w:r>
      <w:r>
        <w:rPr>
          <w:w w:val="105"/>
          <w:sz w:val="17"/>
        </w:rPr>
        <w:t>participaciones.</w:t>
      </w:r>
    </w:p>
    <w:p>
      <w:pPr>
        <w:pStyle w:val="ListParagraph"/>
        <w:numPr>
          <w:ilvl w:val="0"/>
          <w:numId w:val="3"/>
        </w:numPr>
        <w:tabs>
          <w:tab w:pos="929" w:val="left" w:leader="none"/>
        </w:tabs>
        <w:spacing w:line="302" w:lineRule="auto" w:before="122" w:after="0"/>
        <w:ind w:left="971" w:right="418" w:hanging="220"/>
        <w:jc w:val="both"/>
        <w:rPr>
          <w:sz w:val="17"/>
        </w:rPr>
      </w:pPr>
      <w:r>
        <w:rPr>
          <w:w w:val="105"/>
          <w:sz w:val="17"/>
        </w:rPr>
        <w:t>Instrumentos de patrimonio propio: todos </w:t>
      </w:r>
      <w:r>
        <w:rPr>
          <w:spacing w:val="2"/>
          <w:w w:val="105"/>
          <w:sz w:val="17"/>
        </w:rPr>
        <w:t>los </w:t>
      </w:r>
      <w:r>
        <w:rPr>
          <w:w w:val="105"/>
          <w:sz w:val="17"/>
        </w:rPr>
        <w:t>instrumentos financieros que </w:t>
      </w:r>
      <w:r>
        <w:rPr>
          <w:spacing w:val="4"/>
          <w:w w:val="105"/>
          <w:sz w:val="17"/>
        </w:rPr>
        <w:t>se </w:t>
      </w:r>
      <w:r>
        <w:rPr>
          <w:w w:val="105"/>
          <w:sz w:val="17"/>
        </w:rPr>
        <w:t>incluyen dentro de los fondos propios, tal como las acciones ordinarias</w:t>
      </w:r>
      <w:r>
        <w:rPr>
          <w:spacing w:val="18"/>
          <w:w w:val="105"/>
          <w:sz w:val="17"/>
        </w:rPr>
        <w:t> </w:t>
      </w:r>
      <w:r>
        <w:rPr>
          <w:w w:val="105"/>
          <w:sz w:val="17"/>
        </w:rPr>
        <w:t>emitidas</w:t>
      </w:r>
    </w:p>
    <w:p>
      <w:pPr>
        <w:pStyle w:val="Heading4"/>
        <w:numPr>
          <w:ilvl w:val="2"/>
          <w:numId w:val="4"/>
        </w:numPr>
        <w:tabs>
          <w:tab w:pos="864" w:val="left" w:leader="none"/>
        </w:tabs>
        <w:spacing w:line="393" w:lineRule="auto" w:before="122" w:after="0"/>
        <w:ind w:left="403" w:right="5185" w:firstLine="0"/>
        <w:jc w:val="both"/>
      </w:pPr>
      <w:r>
        <w:rPr>
          <w:i/>
          <w:w w:val="105"/>
        </w:rPr>
        <w:t>Inversiones financieras a largo y corto plazo </w:t>
      </w:r>
      <w:r>
        <w:rPr>
          <w:w w:val="105"/>
        </w:rPr>
        <w:t>Activos financieros a coste</w:t>
      </w:r>
      <w:r>
        <w:rPr>
          <w:spacing w:val="7"/>
          <w:w w:val="105"/>
        </w:rPr>
        <w:t> </w:t>
      </w:r>
      <w:r>
        <w:rPr>
          <w:w w:val="105"/>
        </w:rPr>
        <w:t>amortizado</w:t>
      </w:r>
    </w:p>
    <w:p>
      <w:pPr>
        <w:pStyle w:val="BodyText"/>
        <w:spacing w:line="302" w:lineRule="auto" w:before="37"/>
        <w:ind w:left="403" w:right="405"/>
        <w:jc w:val="both"/>
      </w:pPr>
      <w:r>
        <w:rPr>
          <w:w w:val="105"/>
        </w:rPr>
        <w:t>Un activo financiero se incluye en esta categoría, incluso cuando esté admitido a negociación en un mercado organizado, si la empresa mantiene la inversión </w:t>
      </w:r>
      <w:r>
        <w:rPr>
          <w:spacing w:val="2"/>
          <w:w w:val="105"/>
        </w:rPr>
        <w:t>con </w:t>
      </w:r>
      <w:r>
        <w:rPr>
          <w:w w:val="105"/>
        </w:rPr>
        <w:t>el objetivo de percibir los flujos de efectivo derivados </w:t>
      </w:r>
      <w:r>
        <w:rPr>
          <w:spacing w:val="2"/>
          <w:w w:val="105"/>
        </w:rPr>
        <w:t>de </w:t>
      </w:r>
      <w:r>
        <w:rPr>
          <w:w w:val="105"/>
        </w:rPr>
        <w:t>la ejecución del contrato, y las condiciones contractuales del activo financiero dan lugar, en fechas especificadas, a flujos de efectivo que son únicamente cobros </w:t>
      </w:r>
      <w:r>
        <w:rPr>
          <w:spacing w:val="2"/>
          <w:w w:val="105"/>
        </w:rPr>
        <w:t>de </w:t>
      </w:r>
      <w:r>
        <w:rPr>
          <w:w w:val="105"/>
        </w:rPr>
        <w:t>principal e intereses sobre el importe del principal pendiente. Los flujos de efectivo contractuales que son únicamente cobros de principal e interés </w:t>
      </w:r>
      <w:r>
        <w:rPr>
          <w:spacing w:val="2"/>
          <w:w w:val="105"/>
        </w:rPr>
        <w:t>sobre </w:t>
      </w:r>
      <w:r>
        <w:rPr>
          <w:w w:val="105"/>
        </w:rPr>
        <w:t>el importe del principal pendiente son inherentes a un acuerdo que tiene la naturaleza </w:t>
      </w:r>
      <w:r>
        <w:rPr>
          <w:spacing w:val="2"/>
          <w:w w:val="105"/>
        </w:rPr>
        <w:t>de </w:t>
      </w:r>
      <w:r>
        <w:rPr>
          <w:w w:val="105"/>
        </w:rPr>
        <w:t>préstamo ordinario o común, </w:t>
      </w:r>
      <w:r>
        <w:rPr>
          <w:spacing w:val="3"/>
          <w:w w:val="105"/>
        </w:rPr>
        <w:t>sin </w:t>
      </w:r>
      <w:r>
        <w:rPr>
          <w:w w:val="105"/>
        </w:rPr>
        <w:t>perjuicio de que la operación se acuerde a un tipo </w:t>
      </w:r>
      <w:r>
        <w:rPr>
          <w:spacing w:val="2"/>
          <w:w w:val="105"/>
        </w:rPr>
        <w:t>de </w:t>
      </w:r>
      <w:r>
        <w:rPr>
          <w:w w:val="105"/>
        </w:rPr>
        <w:t>interés cero o por debajo </w:t>
      </w:r>
      <w:r>
        <w:rPr>
          <w:spacing w:val="2"/>
          <w:w w:val="105"/>
        </w:rPr>
        <w:t>de </w:t>
      </w:r>
      <w:r>
        <w:rPr>
          <w:w w:val="105"/>
        </w:rPr>
        <w:t>mercado. Con carácter general, se incluyen  en</w:t>
      </w:r>
      <w:r>
        <w:rPr>
          <w:spacing w:val="40"/>
          <w:w w:val="105"/>
        </w:rPr>
        <w:t> </w:t>
      </w:r>
      <w:r>
        <w:rPr>
          <w:w w:val="105"/>
        </w:rPr>
        <w:t>esta categoría los créditos por operaciones comerciales (aquellos activos financieros que </w:t>
      </w:r>
      <w:r>
        <w:rPr>
          <w:spacing w:val="4"/>
          <w:w w:val="105"/>
        </w:rPr>
        <w:t>se </w:t>
      </w:r>
      <w:r>
        <w:rPr>
          <w:w w:val="105"/>
        </w:rPr>
        <w:t>originan en la venta </w:t>
      </w:r>
      <w:r>
        <w:rPr>
          <w:spacing w:val="2"/>
          <w:w w:val="105"/>
        </w:rPr>
        <w:t>de </w:t>
      </w:r>
      <w:r>
        <w:rPr>
          <w:w w:val="105"/>
        </w:rPr>
        <w:t>bienes y la prestación </w:t>
      </w:r>
      <w:r>
        <w:rPr>
          <w:spacing w:val="2"/>
          <w:w w:val="105"/>
        </w:rPr>
        <w:t>de </w:t>
      </w:r>
      <w:r>
        <w:rPr>
          <w:w w:val="105"/>
        </w:rPr>
        <w:t>servicios por operaciones </w:t>
      </w:r>
      <w:r>
        <w:rPr>
          <w:spacing w:val="2"/>
          <w:w w:val="105"/>
        </w:rPr>
        <w:t>de </w:t>
      </w:r>
      <w:r>
        <w:rPr>
          <w:w w:val="105"/>
        </w:rPr>
        <w:t>tráfico de la empresa </w:t>
      </w:r>
      <w:r>
        <w:rPr>
          <w:spacing w:val="2"/>
          <w:w w:val="105"/>
        </w:rPr>
        <w:t>con </w:t>
      </w:r>
      <w:r>
        <w:rPr>
          <w:w w:val="105"/>
        </w:rPr>
        <w:t>cobro aplazado), y los créditos por operaciones no comerciales aquellos activos financieros que, no siendo instrumentos </w:t>
      </w:r>
      <w:r>
        <w:rPr>
          <w:spacing w:val="2"/>
          <w:w w:val="105"/>
        </w:rPr>
        <w:t>de </w:t>
      </w:r>
      <w:r>
        <w:rPr>
          <w:w w:val="105"/>
        </w:rPr>
        <w:t>patrimonio ni  derivados,</w:t>
      </w:r>
      <w:r>
        <w:rPr>
          <w:spacing w:val="40"/>
          <w:w w:val="105"/>
        </w:rPr>
        <w:t> </w:t>
      </w:r>
      <w:r>
        <w:rPr>
          <w:w w:val="105"/>
        </w:rPr>
        <w:t>no tienen origen comercial y cuyos cobros son </w:t>
      </w:r>
      <w:r>
        <w:rPr>
          <w:spacing w:val="2"/>
          <w:w w:val="105"/>
        </w:rPr>
        <w:t>de </w:t>
      </w:r>
      <w:r>
        <w:rPr>
          <w:w w:val="105"/>
        </w:rPr>
        <w:t>cuantía determinada o determinable, que proceden </w:t>
      </w:r>
      <w:r>
        <w:rPr>
          <w:spacing w:val="2"/>
          <w:w w:val="105"/>
        </w:rPr>
        <w:t>de </w:t>
      </w:r>
      <w:r>
        <w:rPr>
          <w:w w:val="105"/>
        </w:rPr>
        <w:t>operaciones </w:t>
      </w:r>
      <w:r>
        <w:rPr>
          <w:spacing w:val="2"/>
          <w:w w:val="105"/>
        </w:rPr>
        <w:t>de </w:t>
      </w:r>
      <w:r>
        <w:rPr>
          <w:w w:val="105"/>
        </w:rPr>
        <w:t>préstamo o crédito concedidos por la empresa). Es decir, dentro </w:t>
      </w:r>
      <w:r>
        <w:rPr>
          <w:spacing w:val="2"/>
          <w:w w:val="105"/>
        </w:rPr>
        <w:t>de </w:t>
      </w:r>
      <w:r>
        <w:rPr>
          <w:w w:val="105"/>
        </w:rPr>
        <w:t>esta categoría estarían los préstamos y cuentas a cobrar, así como aquellos valores representativos de deuda, con una fecha de vencimiento fijada, cobros </w:t>
      </w:r>
      <w:r>
        <w:rPr>
          <w:spacing w:val="2"/>
          <w:w w:val="105"/>
        </w:rPr>
        <w:t>de </w:t>
      </w:r>
      <w:r>
        <w:rPr>
          <w:w w:val="105"/>
        </w:rPr>
        <w:t>cuantía determinada o determinable, que se negocien en </w:t>
      </w:r>
      <w:r>
        <w:rPr>
          <w:spacing w:val="2"/>
          <w:w w:val="105"/>
        </w:rPr>
        <w:t>un </w:t>
      </w:r>
      <w:r>
        <w:rPr>
          <w:w w:val="105"/>
        </w:rPr>
        <w:t>mercado activo y que la Sociedad</w:t>
      </w:r>
      <w:r>
        <w:rPr>
          <w:spacing w:val="40"/>
          <w:w w:val="105"/>
        </w:rPr>
        <w:t> </w:t>
      </w:r>
      <w:r>
        <w:rPr>
          <w:w w:val="105"/>
        </w:rPr>
        <w:t>tiene intención y capacidad </w:t>
      </w:r>
      <w:r>
        <w:rPr>
          <w:spacing w:val="2"/>
          <w:w w:val="105"/>
        </w:rPr>
        <w:t>de </w:t>
      </w:r>
      <w:r>
        <w:rPr>
          <w:w w:val="105"/>
        </w:rPr>
        <w:t>conservar hasta su</w:t>
      </w:r>
      <w:r>
        <w:rPr>
          <w:spacing w:val="1"/>
          <w:w w:val="105"/>
        </w:rPr>
        <w:t> </w:t>
      </w:r>
      <w:r>
        <w:rPr>
          <w:w w:val="105"/>
        </w:rPr>
        <w:t>vencimiento.</w:t>
      </w:r>
    </w:p>
    <w:p>
      <w:pPr>
        <w:pStyle w:val="BodyText"/>
        <w:spacing w:line="300" w:lineRule="auto" w:before="102"/>
        <w:ind w:left="403" w:right="402"/>
        <w:jc w:val="both"/>
      </w:pPr>
      <w:r>
        <w:rPr>
          <w:w w:val="105"/>
        </w:rPr>
        <w:t>Valoración inicial: Inicialmente se valoran por su valor razonable, más los costes de transacción que les sean directamente atribuibles. No obstante, los créditos por operaciones comerciales con vencimiento no superior a un año y que no tienen un tipo </w:t>
      </w:r>
      <w:r>
        <w:rPr>
          <w:spacing w:val="2"/>
          <w:w w:val="105"/>
        </w:rPr>
        <w:t>de </w:t>
      </w:r>
      <w:r>
        <w:rPr>
          <w:w w:val="105"/>
        </w:rPr>
        <w:t>interés contractual explícito, así como </w:t>
      </w:r>
      <w:r>
        <w:rPr>
          <w:spacing w:val="2"/>
          <w:w w:val="105"/>
        </w:rPr>
        <w:t>los </w:t>
      </w:r>
      <w:r>
        <w:rPr>
          <w:w w:val="105"/>
        </w:rPr>
        <w:t>créditos al personal, los dividendos  a cobrar y los desembolsos exigidos sobre instrumentos </w:t>
      </w:r>
      <w:r>
        <w:rPr>
          <w:spacing w:val="2"/>
          <w:w w:val="105"/>
        </w:rPr>
        <w:t>de </w:t>
      </w:r>
      <w:r>
        <w:rPr>
          <w:w w:val="105"/>
        </w:rPr>
        <w:t>patrimonio, cuyo importe </w:t>
      </w:r>
      <w:r>
        <w:rPr>
          <w:spacing w:val="4"/>
          <w:w w:val="105"/>
        </w:rPr>
        <w:t>se </w:t>
      </w:r>
      <w:r>
        <w:rPr>
          <w:w w:val="105"/>
        </w:rPr>
        <w:t>espera recibir en el corto plazo, se podrán valorar por su valor nominal cuando el efecto </w:t>
      </w:r>
      <w:r>
        <w:rPr>
          <w:spacing w:val="2"/>
          <w:w w:val="105"/>
        </w:rPr>
        <w:t>de </w:t>
      </w:r>
      <w:r>
        <w:rPr>
          <w:w w:val="105"/>
        </w:rPr>
        <w:t>no actualizar los flujos </w:t>
      </w:r>
      <w:r>
        <w:rPr>
          <w:spacing w:val="2"/>
          <w:w w:val="105"/>
        </w:rPr>
        <w:t>de </w:t>
      </w:r>
      <w:r>
        <w:rPr>
          <w:w w:val="105"/>
        </w:rPr>
        <w:t>efectivo no sea significativo.</w:t>
      </w:r>
    </w:p>
    <w:p>
      <w:pPr>
        <w:pStyle w:val="BodyText"/>
        <w:spacing w:line="302" w:lineRule="auto" w:before="125"/>
        <w:ind w:left="403" w:right="406"/>
        <w:jc w:val="both"/>
      </w:pPr>
      <w:r>
        <w:rPr>
          <w:w w:val="105"/>
        </w:rPr>
        <w:t>Valoración posterior: se </w:t>
      </w:r>
      <w:r>
        <w:rPr>
          <w:spacing w:val="2"/>
          <w:w w:val="105"/>
        </w:rPr>
        <w:t>hace </w:t>
      </w:r>
      <w:r>
        <w:rPr>
          <w:w w:val="105"/>
        </w:rPr>
        <w:t>a coste amortizado y los intereses devengados se contabilizan en la  cuenta  </w:t>
      </w:r>
      <w:r>
        <w:rPr>
          <w:spacing w:val="2"/>
          <w:w w:val="105"/>
        </w:rPr>
        <w:t>de </w:t>
      </w:r>
      <w:r>
        <w:rPr>
          <w:w w:val="105"/>
        </w:rPr>
        <w:t>pérdidas y ganancias, aplicando el método del tipo </w:t>
      </w:r>
      <w:r>
        <w:rPr>
          <w:spacing w:val="2"/>
          <w:w w:val="105"/>
        </w:rPr>
        <w:t>de </w:t>
      </w:r>
      <w:r>
        <w:rPr>
          <w:w w:val="105"/>
        </w:rPr>
        <w:t>interés</w:t>
      </w:r>
      <w:r>
        <w:rPr>
          <w:spacing w:val="12"/>
          <w:w w:val="105"/>
        </w:rPr>
        <w:t> </w:t>
      </w:r>
      <w:r>
        <w:rPr>
          <w:w w:val="105"/>
        </w:rPr>
        <w:t>efectivo.</w:t>
      </w:r>
    </w:p>
    <w:p>
      <w:pPr>
        <w:spacing w:after="0" w:line="302" w:lineRule="auto"/>
        <w:jc w:val="both"/>
        <w:sectPr>
          <w:pgSz w:w="11920" w:h="16850"/>
          <w:pgMar w:header="735" w:footer="891" w:top="1600" w:bottom="1080" w:left="1300" w:right="1300"/>
        </w:sectPr>
      </w:pPr>
    </w:p>
    <w:p>
      <w:pPr>
        <w:pStyle w:val="BodyText"/>
        <w:spacing w:line="302" w:lineRule="auto" w:before="147"/>
        <w:ind w:left="403" w:right="406"/>
        <w:jc w:val="both"/>
      </w:pPr>
      <w:r>
        <w:rPr>
          <w:w w:val="105"/>
        </w:rPr>
        <w:t>No obstante, los créditos con vencimiento no superior a un año que, de acuerdo con lo dispuesto en el apartado anterior, se valoren inicialmente por su valor nominal, continuarán valorándose por dicho importe, salvo que se hubieran deteriorado.</w:t>
      </w:r>
    </w:p>
    <w:p>
      <w:pPr>
        <w:pStyle w:val="BodyText"/>
        <w:spacing w:line="304" w:lineRule="auto" w:before="116"/>
        <w:ind w:left="403" w:right="419"/>
        <w:jc w:val="both"/>
      </w:pPr>
      <w:r>
        <w:rPr>
          <w:w w:val="105"/>
        </w:rPr>
        <w:t>Cuando los flujos de efectivo contractuales de un activo financiero se modifican debido a las dificultades financieras del emisor, la empresa analizará si procede contabilizar una pérdida por deterioro de valor.</w:t>
      </w:r>
    </w:p>
    <w:p>
      <w:pPr>
        <w:pStyle w:val="BodyText"/>
        <w:spacing w:line="302" w:lineRule="auto" w:before="119"/>
        <w:ind w:left="403" w:right="410"/>
        <w:jc w:val="both"/>
      </w:pPr>
      <w:r>
        <w:rPr>
          <w:w w:val="105"/>
        </w:rPr>
        <w:t>Deterioro: La Sociedad registra los correspondientes deterioros por la diferencia existente entre el importe a recuperar de las cuentas por cobrar y el valor en libros por el que se encuentran registradas.</w:t>
      </w:r>
    </w:p>
    <w:p>
      <w:pPr>
        <w:pStyle w:val="BodyText"/>
        <w:spacing w:line="302" w:lineRule="auto" w:before="116"/>
        <w:ind w:left="403" w:right="409"/>
        <w:jc w:val="both"/>
      </w:pPr>
      <w:r>
        <w:rPr>
          <w:w w:val="105"/>
        </w:rPr>
        <w:t>Al menos al cierre del ejercicio, se efectúan las correcciones valorativas necesarias siempre que existe evidencia objetiva </w:t>
      </w:r>
      <w:r>
        <w:rPr>
          <w:spacing w:val="2"/>
          <w:w w:val="105"/>
        </w:rPr>
        <w:t>de </w:t>
      </w:r>
      <w:r>
        <w:rPr>
          <w:w w:val="105"/>
        </w:rPr>
        <w:t>que el valor </w:t>
      </w:r>
      <w:r>
        <w:rPr>
          <w:spacing w:val="2"/>
          <w:w w:val="105"/>
        </w:rPr>
        <w:t>de </w:t>
      </w:r>
      <w:r>
        <w:rPr>
          <w:w w:val="105"/>
        </w:rPr>
        <w:t>un activo financiero incluido en esta categoría, o </w:t>
      </w:r>
      <w:r>
        <w:rPr>
          <w:spacing w:val="2"/>
          <w:w w:val="105"/>
        </w:rPr>
        <w:t>de </w:t>
      </w:r>
      <w:r>
        <w:rPr>
          <w:w w:val="105"/>
        </w:rPr>
        <w:t>un grupo de activos financieros con similares características de riesgo valorados colectivamente, se ha deteriorado como resultado de uno o  más eventos que hayan ocurrido después de su reconocimiento inicial y que ocasionen una reducción o retraso en los flujos de efectivo estimados futuros, que pueden venir motivados por la insolvencia del</w:t>
      </w:r>
      <w:r>
        <w:rPr>
          <w:spacing w:val="14"/>
          <w:w w:val="105"/>
        </w:rPr>
        <w:t> </w:t>
      </w:r>
      <w:r>
        <w:rPr>
          <w:w w:val="105"/>
        </w:rPr>
        <w:t>deudor.</w:t>
      </w:r>
    </w:p>
    <w:p>
      <w:pPr>
        <w:pStyle w:val="BodyText"/>
        <w:spacing w:line="300" w:lineRule="auto" w:before="112"/>
        <w:ind w:left="403" w:right="408"/>
        <w:jc w:val="both"/>
      </w:pPr>
      <w:r>
        <w:rPr>
          <w:w w:val="105"/>
        </w:rPr>
        <w:t>La pérdida por deterioro del valor de estos activos financieros es la diferencia entre su valor en libros y el  valor actual de los flujos de efectivo futuros, incluidos, en su caso, los procedentes de la ejecución de </w:t>
      </w:r>
      <w:r>
        <w:rPr>
          <w:spacing w:val="2"/>
          <w:w w:val="105"/>
        </w:rPr>
        <w:t>las </w:t>
      </w:r>
      <w:r>
        <w:rPr>
          <w:w w:val="105"/>
        </w:rPr>
        <w:t>garantías reales   y personales, que se estima van a generar, descontados al tipo de interés efectivo calculado en el momento de su reconocimiento inicial.</w:t>
      </w:r>
    </w:p>
    <w:p>
      <w:pPr>
        <w:pStyle w:val="BodyText"/>
        <w:spacing w:line="302" w:lineRule="auto" w:before="119"/>
        <w:ind w:left="403" w:right="409"/>
        <w:jc w:val="both"/>
      </w:pPr>
      <w:r>
        <w:rPr>
          <w:w w:val="105"/>
        </w:rPr>
        <w:t>Las correcciones de valor por deterioro, así como su reversión cuando el importe de dicha pérdida disminuyese por causas relacionadas con un evento posterior, se reconocen como un gasto o un ingreso, respectivamente, en la cuenta de pérdidas y ganancias. La reversión del deterioro tiene como límite el valor en libros del activo que estaría reconocido en la fecha de reversión si no se hubiese registrado el deterioro del valor.</w:t>
      </w:r>
    </w:p>
    <w:p>
      <w:pPr>
        <w:pStyle w:val="Heading4"/>
        <w:spacing w:before="118"/>
        <w:ind w:firstLine="0"/>
        <w:jc w:val="both"/>
        <w:rPr>
          <w:i/>
        </w:rPr>
      </w:pPr>
      <w:r>
        <w:rPr>
          <w:i/>
          <w:w w:val="105"/>
        </w:rPr>
        <w:t>Activos financieros a valor razonable con cambios en la cuenta de pérdidas y ganancias.</w:t>
      </w:r>
    </w:p>
    <w:p>
      <w:pPr>
        <w:pStyle w:val="BodyText"/>
        <w:spacing w:before="4"/>
        <w:rPr>
          <w:b/>
          <w:i/>
          <w:sz w:val="14"/>
        </w:rPr>
      </w:pPr>
    </w:p>
    <w:p>
      <w:pPr>
        <w:pStyle w:val="BodyText"/>
        <w:spacing w:line="300" w:lineRule="auto"/>
        <w:ind w:left="403" w:right="412"/>
        <w:jc w:val="both"/>
      </w:pPr>
      <w:r>
        <w:rPr>
          <w:w w:val="105"/>
        </w:rPr>
        <w:t>Se incluyen en esta categoría todos los activos financieros, salvo que proceda su clasificación en alguna de las restantes categorías. Se incluyen obligatoriamente en esta categoría los activos financieros mantenidos para negociar.</w:t>
      </w:r>
    </w:p>
    <w:p>
      <w:pPr>
        <w:pStyle w:val="BodyText"/>
        <w:spacing w:line="302" w:lineRule="auto" w:before="117"/>
        <w:ind w:left="403" w:right="406"/>
        <w:jc w:val="both"/>
      </w:pPr>
      <w:r>
        <w:rPr>
          <w:w w:val="105"/>
        </w:rPr>
        <w:t>Los instrumentos </w:t>
      </w:r>
      <w:r>
        <w:rPr>
          <w:spacing w:val="2"/>
          <w:w w:val="105"/>
        </w:rPr>
        <w:t>de </w:t>
      </w:r>
      <w:r>
        <w:rPr>
          <w:w w:val="105"/>
        </w:rPr>
        <w:t>patrimonio que </w:t>
      </w:r>
      <w:r>
        <w:rPr>
          <w:spacing w:val="2"/>
          <w:w w:val="105"/>
        </w:rPr>
        <w:t>no </w:t>
      </w:r>
      <w:r>
        <w:rPr>
          <w:w w:val="105"/>
        </w:rPr>
        <w:t>se mantienen para negociar, ni </w:t>
      </w:r>
      <w:r>
        <w:rPr>
          <w:spacing w:val="4"/>
          <w:w w:val="105"/>
        </w:rPr>
        <w:t>se </w:t>
      </w:r>
      <w:r>
        <w:rPr>
          <w:w w:val="105"/>
        </w:rPr>
        <w:t>valoran al coste, </w:t>
      </w:r>
      <w:r>
        <w:rPr>
          <w:spacing w:val="4"/>
          <w:w w:val="105"/>
        </w:rPr>
        <w:t>la </w:t>
      </w:r>
      <w:r>
        <w:rPr>
          <w:w w:val="105"/>
        </w:rPr>
        <w:t>empresa puede realizar la elección irrevocable en el momento de su reconocimiento inicial de presentar los cambios posteriores en el valor razonable directamente en el patrimonio</w:t>
      </w:r>
      <w:r>
        <w:rPr>
          <w:spacing w:val="19"/>
          <w:w w:val="105"/>
        </w:rPr>
        <w:t> </w:t>
      </w:r>
      <w:r>
        <w:rPr>
          <w:w w:val="105"/>
        </w:rPr>
        <w:t>neto.</w:t>
      </w:r>
    </w:p>
    <w:p>
      <w:pPr>
        <w:pStyle w:val="BodyText"/>
        <w:spacing w:line="302" w:lineRule="auto" w:before="117"/>
        <w:ind w:left="403" w:right="411"/>
        <w:jc w:val="both"/>
      </w:pPr>
      <w:r>
        <w:rPr>
          <w:w w:val="105"/>
        </w:rPr>
        <w:t>En todo caso, la empresa puede, en el momento del reconocimiento inicial, designar un activo financiero </w:t>
      </w:r>
      <w:r>
        <w:rPr>
          <w:spacing w:val="2"/>
          <w:w w:val="105"/>
        </w:rPr>
        <w:t>de </w:t>
      </w:r>
      <w:r>
        <w:rPr>
          <w:w w:val="105"/>
        </w:rPr>
        <w:t>forma irrevocable como medido al valor razonable </w:t>
      </w:r>
      <w:r>
        <w:rPr>
          <w:spacing w:val="2"/>
          <w:w w:val="105"/>
        </w:rPr>
        <w:t>con </w:t>
      </w:r>
      <w:r>
        <w:rPr>
          <w:w w:val="105"/>
        </w:rPr>
        <w:t>cambios en la cuenta </w:t>
      </w:r>
      <w:r>
        <w:rPr>
          <w:spacing w:val="2"/>
          <w:w w:val="105"/>
        </w:rPr>
        <w:t>de </w:t>
      </w:r>
      <w:r>
        <w:rPr>
          <w:w w:val="105"/>
        </w:rPr>
        <w:t>pérdidas y ganancias si haciéndolo elimina o reduce significativamente una incoherencia </w:t>
      </w:r>
      <w:r>
        <w:rPr>
          <w:spacing w:val="2"/>
          <w:w w:val="105"/>
        </w:rPr>
        <w:t>de </w:t>
      </w:r>
      <w:r>
        <w:rPr>
          <w:w w:val="105"/>
        </w:rPr>
        <w:t>valoración o</w:t>
      </w:r>
      <w:r>
        <w:rPr>
          <w:spacing w:val="-3"/>
          <w:w w:val="105"/>
        </w:rPr>
        <w:t> </w:t>
      </w:r>
      <w:r>
        <w:rPr>
          <w:w w:val="105"/>
        </w:rPr>
        <w:t>asimetría</w:t>
      </w:r>
    </w:p>
    <w:p>
      <w:pPr>
        <w:pStyle w:val="BodyText"/>
        <w:spacing w:line="304" w:lineRule="auto" w:before="116"/>
        <w:ind w:left="403" w:right="413"/>
        <w:jc w:val="both"/>
      </w:pPr>
      <w:r>
        <w:rPr>
          <w:w w:val="105"/>
        </w:rPr>
        <w:t>Valoración inicial: Se valoran por su valor razonable. Los costes de transacción que les sean directamente atribuibles se reconocen en la cuenta de pérdidas y ganancias del ejercicio.</w:t>
      </w:r>
    </w:p>
    <w:p>
      <w:pPr>
        <w:pStyle w:val="BodyText"/>
        <w:spacing w:before="119"/>
        <w:ind w:left="403"/>
        <w:jc w:val="both"/>
      </w:pPr>
      <w:r>
        <w:rPr>
          <w:w w:val="105"/>
        </w:rPr>
        <w:t>Valoración posterior: Valor razonable con cambios en la cuenta de pérdidas y ganancias.</w:t>
      </w:r>
    </w:p>
    <w:p>
      <w:pPr>
        <w:pStyle w:val="BodyText"/>
        <w:spacing w:before="10"/>
        <w:rPr>
          <w:sz w:val="13"/>
        </w:rPr>
      </w:pPr>
    </w:p>
    <w:p>
      <w:pPr>
        <w:pStyle w:val="BodyText"/>
        <w:spacing w:line="302" w:lineRule="auto"/>
        <w:ind w:left="403" w:right="410"/>
        <w:jc w:val="both"/>
      </w:pPr>
      <w:r>
        <w:rPr>
          <w:w w:val="105"/>
        </w:rPr>
        <w:t>Deterioro: No se deterioran puesto que están en todo momento valorados por su valor razonable, imputándose las variaciones de valor al resultado del ejercicio.</w:t>
      </w:r>
    </w:p>
    <w:p>
      <w:pPr>
        <w:pStyle w:val="Heading4"/>
        <w:spacing w:before="123"/>
        <w:ind w:firstLine="0"/>
        <w:jc w:val="both"/>
        <w:rPr>
          <w:i w:val="0"/>
        </w:rPr>
      </w:pPr>
      <w:r>
        <w:rPr>
          <w:i/>
          <w:w w:val="105"/>
        </w:rPr>
        <w:t>Activos financieros a coste</w:t>
      </w:r>
      <w:r>
        <w:rPr>
          <w:i w:val="0"/>
          <w:w w:val="105"/>
        </w:rPr>
        <w:t>.</w:t>
      </w:r>
    </w:p>
    <w:p>
      <w:pPr>
        <w:pStyle w:val="BodyText"/>
        <w:spacing w:before="9"/>
        <w:rPr>
          <w:b/>
          <w:sz w:val="13"/>
        </w:rPr>
      </w:pPr>
    </w:p>
    <w:p>
      <w:pPr>
        <w:pStyle w:val="BodyText"/>
        <w:spacing w:line="300" w:lineRule="auto" w:before="1"/>
        <w:ind w:left="403" w:right="406"/>
        <w:jc w:val="both"/>
      </w:pPr>
      <w:r>
        <w:rPr>
          <w:w w:val="105"/>
        </w:rPr>
        <w:t>Dentro </w:t>
      </w:r>
      <w:r>
        <w:rPr>
          <w:spacing w:val="2"/>
          <w:w w:val="105"/>
        </w:rPr>
        <w:t>de </w:t>
      </w:r>
      <w:r>
        <w:rPr>
          <w:w w:val="105"/>
        </w:rPr>
        <w:t>esta categoría se incluyen, entre otras, las inversiones en el patrimonio </w:t>
      </w:r>
      <w:r>
        <w:rPr>
          <w:spacing w:val="2"/>
          <w:w w:val="105"/>
        </w:rPr>
        <w:t>de </w:t>
      </w:r>
      <w:r>
        <w:rPr>
          <w:w w:val="105"/>
        </w:rPr>
        <w:t>empresas del grupo, multigrupo y asociadas, así como las restantes inversiones en instrumentos </w:t>
      </w:r>
      <w:r>
        <w:rPr>
          <w:spacing w:val="2"/>
          <w:w w:val="105"/>
        </w:rPr>
        <w:t>de </w:t>
      </w:r>
      <w:r>
        <w:rPr>
          <w:w w:val="105"/>
        </w:rPr>
        <w:t>patrimonio cuyo valor razonable </w:t>
      </w:r>
      <w:r>
        <w:rPr>
          <w:spacing w:val="2"/>
          <w:w w:val="105"/>
        </w:rPr>
        <w:t>no </w:t>
      </w:r>
      <w:r>
        <w:rPr>
          <w:w w:val="105"/>
        </w:rPr>
        <w:t>puede determinarse por referencia a un precio cotizado en un mercado activo para un instrumento idéntico, o no puede obtenerse una estimación fiable del mismo.</w:t>
      </w:r>
    </w:p>
    <w:p>
      <w:pPr>
        <w:pStyle w:val="BodyText"/>
        <w:spacing w:line="304" w:lineRule="auto" w:before="119"/>
        <w:ind w:left="403" w:right="408"/>
        <w:jc w:val="both"/>
      </w:pPr>
      <w:r>
        <w:rPr>
          <w:w w:val="105"/>
        </w:rPr>
        <w:t>Se incluirán también en esta categoría los préstamos participativos cuyos intereses tengan carácter contingente y cualquier otro activo financiero que inicialmente procediese clasificar en la cartera de valor razonable con cambios en la cuenta </w:t>
      </w:r>
      <w:r>
        <w:rPr>
          <w:spacing w:val="2"/>
          <w:w w:val="105"/>
        </w:rPr>
        <w:t>de </w:t>
      </w:r>
      <w:r>
        <w:rPr>
          <w:w w:val="105"/>
        </w:rPr>
        <w:t>pérdidas y ganancias cuando no sea posible obtener una estimación fiable </w:t>
      </w:r>
      <w:r>
        <w:rPr>
          <w:spacing w:val="2"/>
          <w:w w:val="105"/>
        </w:rPr>
        <w:t>de </w:t>
      </w:r>
      <w:r>
        <w:rPr>
          <w:w w:val="105"/>
        </w:rPr>
        <w:t>su valor</w:t>
      </w:r>
      <w:r>
        <w:rPr>
          <w:spacing w:val="10"/>
          <w:w w:val="105"/>
        </w:rPr>
        <w:t> </w:t>
      </w:r>
      <w:r>
        <w:rPr>
          <w:w w:val="105"/>
        </w:rPr>
        <w:t>razonable.</w:t>
      </w:r>
    </w:p>
    <w:p>
      <w:pPr>
        <w:spacing w:after="0" w:line="304" w:lineRule="auto"/>
        <w:jc w:val="both"/>
        <w:sectPr>
          <w:pgSz w:w="11920" w:h="16850"/>
          <w:pgMar w:header="735" w:footer="891" w:top="1600" w:bottom="1080" w:left="1300" w:right="1300"/>
        </w:sectPr>
      </w:pPr>
    </w:p>
    <w:p>
      <w:pPr>
        <w:pStyle w:val="BodyText"/>
        <w:spacing w:line="302" w:lineRule="auto" w:before="147"/>
        <w:ind w:left="403" w:right="420"/>
        <w:jc w:val="both"/>
      </w:pPr>
      <w:r>
        <w:rPr>
          <w:w w:val="105"/>
        </w:rPr>
        <w:t>Valoración inicial: Se valoran al coste, que equivale al valor razonable de la contraprestación entregada más los costes de transacción que les sean directamente atribuibles.</w:t>
      </w:r>
    </w:p>
    <w:p>
      <w:pPr>
        <w:pStyle w:val="BodyText"/>
        <w:spacing w:line="304" w:lineRule="auto" w:before="122"/>
        <w:ind w:left="403" w:right="417"/>
        <w:jc w:val="both"/>
      </w:pPr>
      <w:r>
        <w:rPr>
          <w:w w:val="105"/>
        </w:rPr>
        <w:t>Valoración posterior: Los instrumentos de patrimonio incluidos en esta categoría se valoran por su coste, menos, en su caso, el importe acumulado de las correcciones valorativas por deterioro.</w:t>
      </w:r>
    </w:p>
    <w:p>
      <w:pPr>
        <w:pStyle w:val="BodyText"/>
        <w:spacing w:line="300" w:lineRule="auto" w:before="112"/>
        <w:ind w:left="403" w:right="403"/>
        <w:jc w:val="both"/>
      </w:pPr>
      <w:r>
        <w:rPr>
          <w:w w:val="105"/>
        </w:rPr>
        <w:t>Deterioro: Al menos al cierre del ejercicio, se efectúan las correcciones valorativas necesarias siempre que existe evidencia objetiva </w:t>
      </w:r>
      <w:r>
        <w:rPr>
          <w:spacing w:val="2"/>
          <w:w w:val="105"/>
        </w:rPr>
        <w:t>de </w:t>
      </w:r>
      <w:r>
        <w:rPr>
          <w:w w:val="105"/>
        </w:rPr>
        <w:t>que el valor en libros </w:t>
      </w:r>
      <w:r>
        <w:rPr>
          <w:spacing w:val="2"/>
          <w:w w:val="105"/>
        </w:rPr>
        <w:t>de </w:t>
      </w:r>
      <w:r>
        <w:rPr>
          <w:w w:val="105"/>
        </w:rPr>
        <w:t>una inversión no es recuperable. La Sociedad registra los correspondientes deterioros por la diferencia existente entre el valor en libros y el importe recuperable, entendido éste como el mayor importe entre su valor razonable menos los costes de venta y el valor actual de los flujos de efectivo futuros derivados de la inversión, que para el caso de instrumentos </w:t>
      </w:r>
      <w:r>
        <w:rPr>
          <w:spacing w:val="2"/>
          <w:w w:val="105"/>
        </w:rPr>
        <w:t>de </w:t>
      </w:r>
      <w:r>
        <w:rPr>
          <w:w w:val="105"/>
        </w:rPr>
        <w:t>patrimonio se calculan, bien mediante la estimación de los que se espera recibir como consecuencia del reparto </w:t>
      </w:r>
      <w:r>
        <w:rPr>
          <w:spacing w:val="2"/>
          <w:w w:val="105"/>
        </w:rPr>
        <w:t>de </w:t>
      </w:r>
      <w:r>
        <w:rPr>
          <w:w w:val="105"/>
        </w:rPr>
        <w:t>dividendos realizado por la empresa participada y </w:t>
      </w:r>
      <w:r>
        <w:rPr>
          <w:spacing w:val="2"/>
          <w:w w:val="105"/>
        </w:rPr>
        <w:t>de </w:t>
      </w:r>
      <w:r>
        <w:rPr>
          <w:w w:val="105"/>
        </w:rPr>
        <w:t>la enajenación o baja en cuentas de la inversión en la misma, bien mediante la estimación de su participación en los flujos de efectivo que se espera sean generados por la empresa participada, procedentes tanto </w:t>
      </w:r>
      <w:r>
        <w:rPr>
          <w:spacing w:val="2"/>
          <w:w w:val="105"/>
        </w:rPr>
        <w:t>de </w:t>
      </w:r>
      <w:r>
        <w:rPr>
          <w:w w:val="105"/>
        </w:rPr>
        <w:t>sus actividades ordinarias como </w:t>
      </w:r>
      <w:r>
        <w:rPr>
          <w:spacing w:val="2"/>
          <w:w w:val="105"/>
        </w:rPr>
        <w:t>de </w:t>
      </w:r>
      <w:r>
        <w:rPr>
          <w:w w:val="105"/>
        </w:rPr>
        <w:t>su enajenación o baja en</w:t>
      </w:r>
      <w:r>
        <w:rPr>
          <w:spacing w:val="5"/>
          <w:w w:val="105"/>
        </w:rPr>
        <w:t> </w:t>
      </w:r>
      <w:r>
        <w:rPr>
          <w:w w:val="105"/>
        </w:rPr>
        <w:t>cuentas.</w:t>
      </w:r>
    </w:p>
    <w:p>
      <w:pPr>
        <w:pStyle w:val="BodyText"/>
        <w:spacing w:line="300" w:lineRule="auto" w:before="128"/>
        <w:ind w:left="403" w:right="405"/>
        <w:jc w:val="both"/>
      </w:pPr>
      <w:r>
        <w:rPr>
          <w:w w:val="105"/>
        </w:rPr>
        <w:t>Salvo mejor evidencia  del importe recuperable </w:t>
      </w:r>
      <w:r>
        <w:rPr>
          <w:spacing w:val="2"/>
          <w:w w:val="105"/>
        </w:rPr>
        <w:t>de </w:t>
      </w:r>
      <w:r>
        <w:rPr>
          <w:w w:val="105"/>
        </w:rPr>
        <w:t>las inversiones  en instrumentos </w:t>
      </w:r>
      <w:r>
        <w:rPr>
          <w:spacing w:val="2"/>
          <w:w w:val="105"/>
        </w:rPr>
        <w:t>de </w:t>
      </w:r>
      <w:r>
        <w:rPr>
          <w:w w:val="105"/>
        </w:rPr>
        <w:t>patrimonio, la estimación de la pérdida por deterioro </w:t>
      </w:r>
      <w:r>
        <w:rPr>
          <w:spacing w:val="2"/>
          <w:w w:val="105"/>
        </w:rPr>
        <w:t>de </w:t>
      </w:r>
      <w:r>
        <w:rPr>
          <w:w w:val="105"/>
        </w:rPr>
        <w:t>esta clase de activos se calcula en función del patrimonio neto de la entidad participada</w:t>
      </w:r>
      <w:r>
        <w:rPr>
          <w:spacing w:val="40"/>
          <w:w w:val="105"/>
        </w:rPr>
        <w:t> </w:t>
      </w:r>
      <w:r>
        <w:rPr>
          <w:w w:val="105"/>
        </w:rPr>
        <w:t>y </w:t>
      </w:r>
      <w:r>
        <w:rPr>
          <w:spacing w:val="2"/>
          <w:w w:val="105"/>
        </w:rPr>
        <w:t>de </w:t>
      </w:r>
      <w:r>
        <w:rPr>
          <w:w w:val="105"/>
        </w:rPr>
        <w:t>las plusvalías tácitas existentes en la fecha </w:t>
      </w:r>
      <w:r>
        <w:rPr>
          <w:spacing w:val="2"/>
          <w:w w:val="105"/>
        </w:rPr>
        <w:t>de </w:t>
      </w:r>
      <w:r>
        <w:rPr>
          <w:w w:val="105"/>
        </w:rPr>
        <w:t>la valoración, netas del efecto impositivo. En la determinación </w:t>
      </w:r>
      <w:r>
        <w:rPr>
          <w:spacing w:val="2"/>
          <w:w w:val="105"/>
        </w:rPr>
        <w:t>de </w:t>
      </w:r>
      <w:r>
        <w:rPr>
          <w:w w:val="105"/>
        </w:rPr>
        <w:t>ese valor, y siempre que la empresa participada haya invertido a su vez en otra, </w:t>
      </w:r>
      <w:r>
        <w:rPr>
          <w:spacing w:val="4"/>
          <w:w w:val="105"/>
        </w:rPr>
        <w:t>se </w:t>
      </w:r>
      <w:r>
        <w:rPr>
          <w:w w:val="105"/>
        </w:rPr>
        <w:t>tiene en cuenta el patrimonio neto incluido en las Cuentas Anuales consolidadas elaboradas aplicando los criterios del Código de Comercio y sus normas </w:t>
      </w:r>
      <w:r>
        <w:rPr>
          <w:spacing w:val="2"/>
          <w:w w:val="105"/>
        </w:rPr>
        <w:t>de</w:t>
      </w:r>
      <w:r>
        <w:rPr>
          <w:spacing w:val="1"/>
          <w:w w:val="105"/>
        </w:rPr>
        <w:t> </w:t>
      </w:r>
      <w:r>
        <w:rPr>
          <w:w w:val="105"/>
        </w:rPr>
        <w:t>desarrollo.</w:t>
      </w:r>
    </w:p>
    <w:p>
      <w:pPr>
        <w:pStyle w:val="BodyText"/>
        <w:spacing w:line="300" w:lineRule="auto" w:before="125"/>
        <w:ind w:left="403" w:right="414"/>
        <w:jc w:val="both"/>
      </w:pPr>
      <w:r>
        <w:rPr>
          <w:w w:val="105"/>
        </w:rPr>
        <w:t>El reconocimiento </w:t>
      </w:r>
      <w:r>
        <w:rPr>
          <w:spacing w:val="2"/>
          <w:w w:val="105"/>
        </w:rPr>
        <w:t>de </w:t>
      </w:r>
      <w:r>
        <w:rPr>
          <w:w w:val="105"/>
        </w:rPr>
        <w:t>las correcciones valorativas por deterioro de valor y, en su caso, su reversión, se registran como un gasto o un ingreso, respectivamente, en la cuenta de pérdidas y ganancias. La reversión del deterioro tendrá como límite el valor en libros </w:t>
      </w:r>
      <w:r>
        <w:rPr>
          <w:spacing w:val="2"/>
          <w:w w:val="105"/>
        </w:rPr>
        <w:t>de </w:t>
      </w:r>
      <w:r>
        <w:rPr>
          <w:w w:val="105"/>
        </w:rPr>
        <w:t>la inversión que estaría reconocida en la fecha </w:t>
      </w:r>
      <w:r>
        <w:rPr>
          <w:spacing w:val="2"/>
          <w:w w:val="105"/>
        </w:rPr>
        <w:t>de </w:t>
      </w:r>
      <w:r>
        <w:rPr>
          <w:w w:val="105"/>
        </w:rPr>
        <w:t>reversión si no </w:t>
      </w:r>
      <w:r>
        <w:rPr>
          <w:spacing w:val="4"/>
          <w:w w:val="105"/>
        </w:rPr>
        <w:t>se </w:t>
      </w:r>
      <w:r>
        <w:rPr>
          <w:w w:val="105"/>
        </w:rPr>
        <w:t>hubiese registrado el deterioro del</w:t>
      </w:r>
      <w:r>
        <w:rPr>
          <w:spacing w:val="12"/>
          <w:w w:val="105"/>
        </w:rPr>
        <w:t> </w:t>
      </w:r>
      <w:r>
        <w:rPr>
          <w:w w:val="105"/>
        </w:rPr>
        <w:t>valor.</w:t>
      </w:r>
    </w:p>
    <w:p>
      <w:pPr>
        <w:pStyle w:val="Heading4"/>
        <w:spacing w:before="119"/>
        <w:ind w:firstLine="0"/>
        <w:jc w:val="both"/>
        <w:rPr>
          <w:i/>
        </w:rPr>
      </w:pPr>
      <w:r>
        <w:rPr>
          <w:i/>
          <w:w w:val="105"/>
        </w:rPr>
        <w:t>Activos financieros a valor razonable con cambios en el patrimonio neto.</w:t>
      </w:r>
    </w:p>
    <w:p>
      <w:pPr>
        <w:pStyle w:val="BodyText"/>
        <w:spacing w:before="5"/>
        <w:rPr>
          <w:b/>
          <w:i/>
          <w:sz w:val="14"/>
        </w:rPr>
      </w:pPr>
    </w:p>
    <w:p>
      <w:pPr>
        <w:pStyle w:val="BodyText"/>
        <w:spacing w:line="300" w:lineRule="auto"/>
        <w:ind w:left="403" w:right="402"/>
        <w:jc w:val="both"/>
      </w:pPr>
      <w:r>
        <w:rPr>
          <w:w w:val="105"/>
        </w:rPr>
        <w:t>Un activo financiero se incluye en esta categoría cuando las condiciones contractuales del activo financiero dan</w:t>
      </w:r>
      <w:r>
        <w:rPr>
          <w:spacing w:val="40"/>
          <w:w w:val="105"/>
        </w:rPr>
        <w:t> </w:t>
      </w:r>
      <w:r>
        <w:rPr>
          <w:w w:val="105"/>
        </w:rPr>
        <w:t>lugar, en fechas especificadas, a flujos de efectivo que son únicamente cobros de principal e intereses sobre el importe del principal pendiente, y </w:t>
      </w:r>
      <w:r>
        <w:rPr>
          <w:spacing w:val="2"/>
          <w:w w:val="105"/>
        </w:rPr>
        <w:t>no </w:t>
      </w:r>
      <w:r>
        <w:rPr>
          <w:w w:val="105"/>
        </w:rPr>
        <w:t>se mantiene para negociar ni proceda clasificarlo en la categoría </w:t>
      </w:r>
      <w:r>
        <w:rPr>
          <w:spacing w:val="2"/>
          <w:w w:val="105"/>
        </w:rPr>
        <w:t>de </w:t>
      </w:r>
      <w:r>
        <w:rPr>
          <w:w w:val="105"/>
        </w:rPr>
        <w:t>activos financieros a coste amortizado. También se incluyen en esta categoría las inversiones en instrumentos </w:t>
      </w:r>
      <w:r>
        <w:rPr>
          <w:spacing w:val="2"/>
          <w:w w:val="105"/>
        </w:rPr>
        <w:t>de</w:t>
      </w:r>
      <w:r>
        <w:rPr>
          <w:spacing w:val="44"/>
          <w:w w:val="105"/>
        </w:rPr>
        <w:t> </w:t>
      </w:r>
      <w:r>
        <w:rPr>
          <w:w w:val="105"/>
        </w:rPr>
        <w:t>patrimonio para las que, debiéndose haberse incluido en la categoría </w:t>
      </w:r>
      <w:r>
        <w:rPr>
          <w:spacing w:val="2"/>
          <w:w w:val="105"/>
        </w:rPr>
        <w:t>de </w:t>
      </w:r>
      <w:r>
        <w:rPr>
          <w:w w:val="105"/>
        </w:rPr>
        <w:t>activos financieros a valor razonable con cambios en pérdidas y ganancias, </w:t>
      </w:r>
      <w:r>
        <w:rPr>
          <w:spacing w:val="4"/>
          <w:w w:val="105"/>
        </w:rPr>
        <w:t>se </w:t>
      </w:r>
      <w:r>
        <w:rPr>
          <w:w w:val="105"/>
        </w:rPr>
        <w:t>ha ejercitado la opción irrevocable de clasificarlas en esta</w:t>
      </w:r>
      <w:r>
        <w:rPr>
          <w:spacing w:val="2"/>
          <w:w w:val="105"/>
        </w:rPr>
        <w:t> </w:t>
      </w:r>
      <w:r>
        <w:rPr>
          <w:w w:val="105"/>
        </w:rPr>
        <w:t>categoría.</w:t>
      </w:r>
    </w:p>
    <w:p>
      <w:pPr>
        <w:pStyle w:val="BodyText"/>
        <w:spacing w:line="304" w:lineRule="auto" w:before="119"/>
        <w:ind w:left="403" w:right="405"/>
        <w:jc w:val="both"/>
      </w:pPr>
      <w:r>
        <w:rPr>
          <w:w w:val="105"/>
        </w:rPr>
        <w:t>Valoración inicial: Valor razonable, que, salvo evidencia en contrario, es el precio </w:t>
      </w:r>
      <w:r>
        <w:rPr>
          <w:spacing w:val="2"/>
          <w:w w:val="105"/>
        </w:rPr>
        <w:t>de </w:t>
      </w:r>
      <w:r>
        <w:rPr>
          <w:w w:val="105"/>
        </w:rPr>
        <w:t>la transacción, que equivale al valor razonable de la contraprestación entregada, más los costes de transacción que les </w:t>
      </w:r>
      <w:r>
        <w:rPr>
          <w:spacing w:val="2"/>
          <w:w w:val="105"/>
        </w:rPr>
        <w:t>son</w:t>
      </w:r>
      <w:r>
        <w:rPr>
          <w:spacing w:val="44"/>
          <w:w w:val="105"/>
        </w:rPr>
        <w:t> </w:t>
      </w:r>
      <w:r>
        <w:rPr>
          <w:w w:val="105"/>
        </w:rPr>
        <w:t>directamente atribuibles</w:t>
      </w:r>
    </w:p>
    <w:p>
      <w:pPr>
        <w:pStyle w:val="BodyText"/>
        <w:spacing w:line="304" w:lineRule="auto" w:before="110"/>
        <w:ind w:left="403" w:right="406"/>
        <w:jc w:val="both"/>
      </w:pPr>
      <w:r>
        <w:rPr>
          <w:w w:val="105"/>
        </w:rPr>
        <w:t>Valoración posterior: Valor razonable, sin deducir los costes de transacción en que se pueda incurrir en su enajenación. Los cambios que se producen en el valor razonable se registran directamente en el patrimonio neto, hasta que el activo financiero causa baja del balance o se deteriora, momento en que el importe así reconocido, se imputa a la cuenta de pérdidas y ganancias</w:t>
      </w:r>
    </w:p>
    <w:p>
      <w:pPr>
        <w:pStyle w:val="BodyText"/>
        <w:spacing w:line="302" w:lineRule="auto" w:before="110"/>
        <w:ind w:left="403" w:right="404"/>
        <w:jc w:val="both"/>
      </w:pPr>
      <w:r>
        <w:rPr>
          <w:w w:val="105"/>
        </w:rPr>
        <w:t>Deterioro: Al menos al cierre del ejercicio, se efectúan las correcciones valorativas necesarias siempre que existe evidencia objetiva de que el valor de un activo financiero se ha deteriorado como resultado de uno o más eventos que hayan ocurrido después de su reconocimiento inicial, y que ocasionen: - retraso en los flujos de efectivo estimados futuros; o la falta de recuperabilidad del valor en libros del activo, evidenciada, por ejemplo, por un descenso prolongado o significativo en su valor razonable.</w:t>
      </w:r>
    </w:p>
    <w:p>
      <w:pPr>
        <w:pStyle w:val="BodyText"/>
        <w:spacing w:line="302" w:lineRule="auto" w:before="112"/>
        <w:ind w:left="403" w:right="415"/>
        <w:jc w:val="both"/>
      </w:pPr>
      <w:r>
        <w:rPr>
          <w:w w:val="105"/>
        </w:rPr>
        <w:t>La corrección valorativa por deterioro del valor </w:t>
      </w:r>
      <w:r>
        <w:rPr>
          <w:spacing w:val="2"/>
          <w:w w:val="105"/>
        </w:rPr>
        <w:t>de </w:t>
      </w:r>
      <w:r>
        <w:rPr>
          <w:w w:val="105"/>
        </w:rPr>
        <w:t>estos activos financieros es la diferencia entre su coste o coste amortizado menos, en su caso, cualquier corrección valorativa por deterioro previamente reconocida en la cuenta</w:t>
      </w:r>
      <w:r>
        <w:rPr>
          <w:spacing w:val="40"/>
          <w:w w:val="105"/>
        </w:rPr>
        <w:t> </w:t>
      </w:r>
      <w:r>
        <w:rPr>
          <w:w w:val="105"/>
        </w:rPr>
        <w:t>de pérdidas y ganancias y el valor razonable en el momento en que se efectúe la valoración. Las pérdidas acumuladas reconocidas en el patrimonio neto por disminución del valor razonable, siempre que exista una evidencia objetiva </w:t>
      </w:r>
      <w:r>
        <w:rPr>
          <w:spacing w:val="2"/>
          <w:w w:val="105"/>
        </w:rPr>
        <w:t>de </w:t>
      </w:r>
      <w:r>
        <w:rPr>
          <w:w w:val="105"/>
        </w:rPr>
        <w:t>deterioro en el valor del activo, se reconocen en la cuenta de pérdidas y</w:t>
      </w:r>
      <w:r>
        <w:rPr>
          <w:spacing w:val="12"/>
          <w:w w:val="105"/>
        </w:rPr>
        <w:t> </w:t>
      </w:r>
      <w:r>
        <w:rPr>
          <w:w w:val="105"/>
        </w:rPr>
        <w:t>ganancias.</w:t>
      </w:r>
    </w:p>
    <w:p>
      <w:pPr>
        <w:spacing w:after="0" w:line="302" w:lineRule="auto"/>
        <w:jc w:val="both"/>
        <w:sectPr>
          <w:pgSz w:w="11920" w:h="16850"/>
          <w:pgMar w:header="735" w:footer="891" w:top="1600" w:bottom="1080" w:left="1300" w:right="1300"/>
        </w:sectPr>
      </w:pPr>
    </w:p>
    <w:p>
      <w:pPr>
        <w:pStyle w:val="BodyText"/>
        <w:spacing w:line="302" w:lineRule="auto" w:before="147"/>
        <w:ind w:left="403" w:right="411"/>
        <w:jc w:val="both"/>
      </w:pPr>
      <w:r>
        <w:rPr>
          <w:w w:val="105"/>
        </w:rPr>
        <w:t>Si en ejercicios posteriores se incrementa el valor razonable, la corrección valorativa reconocida en ejercicios anteriores revierte con abono a la cuenta de pérdidas y ganancias del ejercicio. No obstante, en el caso de que se incrementase el valor razonable correspondiente a un instrumento de patrimonio, la corrección valorativa reconocida en ejercicios anteriores no revertirá con abono a la cuenta de pérdidas y ganancias y se registra el incremento de valor razonable directamente contra el patrimonio neto.</w:t>
      </w:r>
    </w:p>
    <w:p>
      <w:pPr>
        <w:pStyle w:val="Heading4"/>
        <w:spacing w:before="119"/>
        <w:ind w:firstLine="0"/>
        <w:jc w:val="both"/>
        <w:rPr>
          <w:i/>
        </w:rPr>
      </w:pPr>
      <w:r>
        <w:rPr>
          <w:i/>
          <w:w w:val="105"/>
        </w:rPr>
        <w:t>Intereses y dividendos recibidos de activos financieros.</w:t>
      </w:r>
    </w:p>
    <w:p>
      <w:pPr>
        <w:pStyle w:val="BodyText"/>
        <w:spacing w:before="9"/>
        <w:rPr>
          <w:b/>
          <w:i/>
          <w:sz w:val="13"/>
        </w:rPr>
      </w:pPr>
    </w:p>
    <w:p>
      <w:pPr>
        <w:pStyle w:val="BodyText"/>
        <w:spacing w:line="304" w:lineRule="auto"/>
        <w:ind w:left="403" w:right="406"/>
        <w:jc w:val="both"/>
      </w:pPr>
      <w:r>
        <w:rPr>
          <w:w w:val="105"/>
        </w:rPr>
        <w:t>Los intereses y dividendos </w:t>
      </w:r>
      <w:r>
        <w:rPr>
          <w:spacing w:val="2"/>
          <w:w w:val="105"/>
        </w:rPr>
        <w:t>de </w:t>
      </w:r>
      <w:r>
        <w:rPr>
          <w:w w:val="105"/>
        </w:rPr>
        <w:t>activos financieros devengados con posterioridad al momento </w:t>
      </w:r>
      <w:r>
        <w:rPr>
          <w:spacing w:val="2"/>
          <w:w w:val="105"/>
        </w:rPr>
        <w:t>de </w:t>
      </w:r>
      <w:r>
        <w:rPr>
          <w:w w:val="105"/>
        </w:rPr>
        <w:t>la adquisición se reconocen como ingresos en la cuenta de pérdidas y ganancias. Los intereses </w:t>
      </w:r>
      <w:r>
        <w:rPr>
          <w:spacing w:val="4"/>
          <w:w w:val="105"/>
        </w:rPr>
        <w:t>se </w:t>
      </w:r>
      <w:r>
        <w:rPr>
          <w:w w:val="105"/>
        </w:rPr>
        <w:t>reconocen por  el método del tipo de interés efectivo y los ingresos por dividendos procedentes de inversiones en instrumentos de patrimonio </w:t>
      </w:r>
      <w:r>
        <w:rPr>
          <w:spacing w:val="4"/>
          <w:w w:val="105"/>
        </w:rPr>
        <w:t>se </w:t>
      </w:r>
      <w:r>
        <w:rPr>
          <w:w w:val="105"/>
        </w:rPr>
        <w:t>reconocen cuando han surgido los derechos para la Sociedad a su</w:t>
      </w:r>
      <w:r>
        <w:rPr>
          <w:spacing w:val="15"/>
          <w:w w:val="105"/>
        </w:rPr>
        <w:t> </w:t>
      </w:r>
      <w:r>
        <w:rPr>
          <w:w w:val="105"/>
        </w:rPr>
        <w:t>percepción.</w:t>
      </w:r>
    </w:p>
    <w:p>
      <w:pPr>
        <w:pStyle w:val="BodyText"/>
        <w:spacing w:line="300" w:lineRule="auto" w:before="110"/>
        <w:ind w:left="403" w:right="415"/>
        <w:jc w:val="both"/>
      </w:pPr>
      <w:r>
        <w:rPr>
          <w:w w:val="105"/>
        </w:rPr>
        <w:t>En la valoración inicial de los activos financieros se registran de forma independiente, atendiendo a su vencimiento, el importe de los intereses explícitos devengados y no vencidos en dicho momento, así como el importe de los dividendos acordados por el órgano competente en el momento de la adquisición.</w:t>
      </w:r>
    </w:p>
    <w:p>
      <w:pPr>
        <w:pStyle w:val="Heading4"/>
        <w:spacing w:before="123"/>
        <w:ind w:firstLine="0"/>
        <w:jc w:val="both"/>
        <w:rPr>
          <w:i/>
        </w:rPr>
      </w:pPr>
      <w:r>
        <w:rPr>
          <w:i/>
          <w:w w:val="105"/>
        </w:rPr>
        <w:t>Baja de activos financieros.</w:t>
      </w:r>
    </w:p>
    <w:p>
      <w:pPr>
        <w:pStyle w:val="BodyText"/>
        <w:spacing w:before="10"/>
        <w:rPr>
          <w:b/>
          <w:i/>
          <w:sz w:val="13"/>
        </w:rPr>
      </w:pPr>
    </w:p>
    <w:p>
      <w:pPr>
        <w:pStyle w:val="BodyText"/>
        <w:spacing w:line="300" w:lineRule="auto"/>
        <w:ind w:left="403" w:right="407"/>
        <w:jc w:val="both"/>
      </w:pPr>
      <w:r>
        <w:rPr>
          <w:w w:val="105"/>
        </w:rPr>
        <w:t>La Sociedad da de baja los activos financieros cuando expiran o se han cedido los derechos sobre los flujos de efectivo del correspondiente activo financiero y se han transferido sustancialmente los riesgos y beneficios inherentes a su propiedad. En el caso concreto de cuentas a cobrar se entiende que este hecho se produce en general si se han transmitido los riesgos de insolvencia y</w:t>
      </w:r>
      <w:r>
        <w:rPr>
          <w:spacing w:val="9"/>
          <w:w w:val="105"/>
        </w:rPr>
        <w:t> </w:t>
      </w:r>
      <w:r>
        <w:rPr>
          <w:w w:val="105"/>
        </w:rPr>
        <w:t>mora.</w:t>
      </w:r>
    </w:p>
    <w:p>
      <w:pPr>
        <w:pStyle w:val="BodyText"/>
        <w:spacing w:line="300" w:lineRule="auto" w:before="126"/>
        <w:ind w:left="403" w:right="408"/>
        <w:jc w:val="both"/>
      </w:pPr>
      <w:r>
        <w:rPr>
          <w:w w:val="105"/>
        </w:rPr>
        <w:t>Cuando el activo financiero se da de baja la diferencia entre la contraprestación recibida neta de los costes de transacción atribuibles y el valor en libros del activo, más cualquier importe acumulado que se haya reconocido directamente en el patrimonio neto, determina la ganancia o pérdida surgida al dar de baja dicho activo, que forma parte del resultado del ejercicio en que ésta se produce.</w:t>
      </w:r>
    </w:p>
    <w:p>
      <w:pPr>
        <w:pStyle w:val="BodyText"/>
        <w:spacing w:line="304" w:lineRule="auto" w:before="119"/>
        <w:ind w:left="403" w:right="406"/>
        <w:jc w:val="both"/>
      </w:pPr>
      <w:r>
        <w:rPr>
          <w:w w:val="105"/>
        </w:rPr>
        <w:t>Por el contrario, la Sociedad no da de baja los activos financieros, y reconoce un pasivo financiero por un importe igual a la contraprestación recibida, en las cesiones de activos financieros en las que se retenga sustancialmente los riesgos y beneficios inherentes a su propiedad.</w:t>
      </w:r>
    </w:p>
    <w:p>
      <w:pPr>
        <w:pStyle w:val="Heading4"/>
        <w:numPr>
          <w:ilvl w:val="2"/>
          <w:numId w:val="4"/>
        </w:numPr>
        <w:tabs>
          <w:tab w:pos="872" w:val="left" w:leader="none"/>
        </w:tabs>
        <w:spacing w:line="240" w:lineRule="auto" w:before="111" w:after="0"/>
        <w:ind w:left="871" w:right="0" w:hanging="469"/>
        <w:jc w:val="both"/>
        <w:rPr>
          <w:i/>
        </w:rPr>
      </w:pPr>
      <w:r>
        <w:rPr>
          <w:i/>
          <w:w w:val="105"/>
        </w:rPr>
        <w:t>Pasivos</w:t>
      </w:r>
      <w:r>
        <w:rPr>
          <w:i/>
          <w:spacing w:val="3"/>
          <w:w w:val="105"/>
        </w:rPr>
        <w:t> </w:t>
      </w:r>
      <w:r>
        <w:rPr>
          <w:i/>
          <w:w w:val="105"/>
        </w:rPr>
        <w:t>financieros</w:t>
      </w:r>
    </w:p>
    <w:p>
      <w:pPr>
        <w:pStyle w:val="BodyText"/>
        <w:spacing w:before="4"/>
        <w:rPr>
          <w:b/>
          <w:i/>
          <w:sz w:val="14"/>
        </w:rPr>
      </w:pPr>
    </w:p>
    <w:p>
      <w:pPr>
        <w:pStyle w:val="BodyText"/>
        <w:spacing w:before="1"/>
        <w:ind w:left="403"/>
        <w:jc w:val="both"/>
      </w:pPr>
      <w:r>
        <w:rPr>
          <w:w w:val="105"/>
        </w:rPr>
        <w:t>Los pasivos financieros, a efectos de su valoración, se incluyen en alguna de las siguientes categorías:</w:t>
      </w:r>
    </w:p>
    <w:p>
      <w:pPr>
        <w:pStyle w:val="BodyText"/>
        <w:spacing w:before="5"/>
        <w:rPr>
          <w:sz w:val="14"/>
        </w:rPr>
      </w:pPr>
    </w:p>
    <w:p>
      <w:pPr>
        <w:pStyle w:val="Heading4"/>
        <w:ind w:firstLine="0"/>
        <w:jc w:val="both"/>
        <w:rPr>
          <w:b w:val="0"/>
          <w:i/>
        </w:rPr>
      </w:pPr>
      <w:r>
        <w:rPr>
          <w:i/>
          <w:w w:val="105"/>
        </w:rPr>
        <w:t>Pasivos Financieros a coste Amortizado</w:t>
      </w:r>
      <w:r>
        <w:rPr>
          <w:b w:val="0"/>
          <w:i/>
          <w:w w:val="105"/>
        </w:rPr>
        <w:t>.</w:t>
      </w:r>
    </w:p>
    <w:p>
      <w:pPr>
        <w:pStyle w:val="BodyText"/>
        <w:spacing w:before="9"/>
        <w:rPr>
          <w:i/>
          <w:sz w:val="13"/>
        </w:rPr>
      </w:pPr>
    </w:p>
    <w:p>
      <w:pPr>
        <w:pStyle w:val="BodyText"/>
        <w:spacing w:line="300" w:lineRule="auto" w:before="1"/>
        <w:ind w:left="403" w:right="410"/>
        <w:jc w:val="both"/>
      </w:pPr>
      <w:r>
        <w:rPr>
          <w:w w:val="105"/>
        </w:rPr>
        <w:t>Dentro </w:t>
      </w:r>
      <w:r>
        <w:rPr>
          <w:spacing w:val="2"/>
          <w:w w:val="105"/>
        </w:rPr>
        <w:t>de </w:t>
      </w:r>
      <w:r>
        <w:rPr>
          <w:w w:val="105"/>
        </w:rPr>
        <w:t>esta categoría se clasifican todos los pasivos financieros excepto cuando deben valorarse a valor</w:t>
      </w:r>
      <w:r>
        <w:rPr>
          <w:spacing w:val="40"/>
          <w:w w:val="105"/>
        </w:rPr>
        <w:t> </w:t>
      </w:r>
      <w:r>
        <w:rPr>
          <w:w w:val="105"/>
        </w:rPr>
        <w:t>razonable con cambios en la cuenta de pérdidas y ganancias. Con carácter general, se incluyen en esta categoría los débitos por operaciones comerciales y los débitos por operaciones no</w:t>
      </w:r>
      <w:r>
        <w:rPr>
          <w:spacing w:val="20"/>
          <w:w w:val="105"/>
        </w:rPr>
        <w:t> </w:t>
      </w:r>
      <w:r>
        <w:rPr>
          <w:w w:val="105"/>
        </w:rPr>
        <w:t>comerciales.</w:t>
      </w:r>
    </w:p>
    <w:p>
      <w:pPr>
        <w:pStyle w:val="BodyText"/>
        <w:spacing w:line="302" w:lineRule="auto" w:before="123"/>
        <w:ind w:left="403" w:right="409"/>
        <w:jc w:val="both"/>
      </w:pPr>
      <w:r>
        <w:rPr>
          <w:w w:val="105"/>
        </w:rPr>
        <w:t>Los préstamos participativos que tengan las características de un préstamo ordinario o común también se incluirán en esta categoría sin perjuicio de que la operación se acuerde a un tipo de interés cero o por debajo de mercado.</w:t>
      </w:r>
    </w:p>
    <w:p>
      <w:pPr>
        <w:pStyle w:val="BodyText"/>
        <w:spacing w:line="302" w:lineRule="auto" w:before="115"/>
        <w:ind w:left="403" w:right="411"/>
        <w:jc w:val="both"/>
      </w:pPr>
      <w:r>
        <w:rPr>
          <w:w w:val="105"/>
        </w:rPr>
        <w:t>Valoración inicial: Inicialmente se valoran por su valor razonable, que, salvo evidencia en contrario, es el precio de la transacción, que equivale al valor razonable de la contraprestación recibida ajustado por los costes de transacción que le sean directamente atribuibles. No obstante, los débitos por operaciones comerciales con vencimiento no superior a un año y que no tengan un tipo de interés contractual, así como los desembolsos exigidos por terceros sobre participaciones, cuyo importe se espera pagar en el corto plazo, se pueden valorar por su valor nominal, cuando el efecto de no actualizar los flujos de efectivo no sea significativo.</w:t>
      </w:r>
    </w:p>
    <w:p>
      <w:pPr>
        <w:pStyle w:val="BodyText"/>
        <w:spacing w:line="300" w:lineRule="auto" w:before="113"/>
        <w:ind w:left="403" w:right="415"/>
        <w:jc w:val="both"/>
      </w:pPr>
      <w:r>
        <w:rPr>
          <w:w w:val="105"/>
        </w:rPr>
        <w:t>Valoración posterior: se </w:t>
      </w:r>
      <w:r>
        <w:rPr>
          <w:spacing w:val="2"/>
          <w:w w:val="105"/>
        </w:rPr>
        <w:t>hace </w:t>
      </w:r>
      <w:r>
        <w:rPr>
          <w:w w:val="105"/>
        </w:rPr>
        <w:t>a coste amortizado. Los intereses devengados se contabilizan en la cuenta </w:t>
      </w:r>
      <w:r>
        <w:rPr>
          <w:spacing w:val="2"/>
          <w:w w:val="105"/>
        </w:rPr>
        <w:t>de </w:t>
      </w:r>
      <w:r>
        <w:rPr>
          <w:w w:val="105"/>
        </w:rPr>
        <w:t>pérdidas y ganancias, aplicando el método del tipo </w:t>
      </w:r>
      <w:r>
        <w:rPr>
          <w:spacing w:val="2"/>
          <w:w w:val="105"/>
        </w:rPr>
        <w:t>de </w:t>
      </w:r>
      <w:r>
        <w:rPr>
          <w:w w:val="105"/>
        </w:rPr>
        <w:t>interés efectivo. No obstante, los débitos con vencimiento no superior  a un año que, de acuerdo con </w:t>
      </w:r>
      <w:r>
        <w:rPr>
          <w:spacing w:val="4"/>
          <w:w w:val="105"/>
        </w:rPr>
        <w:t>lo </w:t>
      </w:r>
      <w:r>
        <w:rPr>
          <w:w w:val="105"/>
        </w:rPr>
        <w:t>dispuesto en el apartado anterior, </w:t>
      </w:r>
      <w:r>
        <w:rPr>
          <w:spacing w:val="4"/>
          <w:w w:val="105"/>
        </w:rPr>
        <w:t>se </w:t>
      </w:r>
      <w:r>
        <w:rPr>
          <w:w w:val="105"/>
        </w:rPr>
        <w:t>valoren inicialmente por su valor nominal, continuarán valorándose por dicho</w:t>
      </w:r>
      <w:r>
        <w:rPr>
          <w:spacing w:val="2"/>
          <w:w w:val="105"/>
        </w:rPr>
        <w:t> </w:t>
      </w:r>
      <w:r>
        <w:rPr>
          <w:w w:val="105"/>
        </w:rPr>
        <w:t>importe.</w:t>
      </w:r>
    </w:p>
    <w:p>
      <w:pPr>
        <w:spacing w:after="0" w:line="300" w:lineRule="auto"/>
        <w:jc w:val="both"/>
        <w:sectPr>
          <w:pgSz w:w="11920" w:h="16850"/>
          <w:pgMar w:header="735" w:footer="891" w:top="1600" w:bottom="1080" w:left="1300" w:right="1300"/>
        </w:sectPr>
      </w:pPr>
    </w:p>
    <w:p>
      <w:pPr>
        <w:pStyle w:val="Heading4"/>
        <w:spacing w:before="154"/>
        <w:ind w:firstLine="0"/>
        <w:jc w:val="both"/>
        <w:rPr>
          <w:i/>
        </w:rPr>
      </w:pPr>
      <w:r>
        <w:rPr>
          <w:i/>
          <w:w w:val="105"/>
        </w:rPr>
        <w:t>Pasivos Financieros a valor razonable con cambios en la cuenta de pérdidas y ganancias.</w:t>
      </w:r>
    </w:p>
    <w:p>
      <w:pPr>
        <w:pStyle w:val="BodyText"/>
        <w:spacing w:before="9"/>
        <w:rPr>
          <w:b/>
          <w:i/>
          <w:sz w:val="13"/>
        </w:rPr>
      </w:pPr>
    </w:p>
    <w:p>
      <w:pPr>
        <w:pStyle w:val="BodyText"/>
        <w:spacing w:line="444" w:lineRule="auto" w:before="1"/>
        <w:ind w:left="403" w:right="739"/>
        <w:jc w:val="both"/>
      </w:pPr>
      <w:r>
        <w:rPr>
          <w:w w:val="105"/>
        </w:rPr>
        <w:t>Dentro de esta categoría se clasifican los pasivos financieros que cumplan algunas de las siguientes condiciones: Son pasivos que se mantienen para negociar;</w:t>
      </w:r>
    </w:p>
    <w:p>
      <w:pPr>
        <w:pStyle w:val="BodyText"/>
        <w:spacing w:line="302" w:lineRule="auto"/>
        <w:ind w:left="403" w:right="416"/>
        <w:jc w:val="both"/>
      </w:pPr>
      <w:r>
        <w:rPr>
          <w:w w:val="105"/>
        </w:rPr>
        <w:t>Son pasivos, que, desde el momento del reconocimiento inicial, y de forma irrevocable, han sido designados por la entidad para contabilizarlo al valor razonable con cambios en la cuenta de pérdidas y ganancias, siempre que dicha designación cumpla con el objetivo fijado en la normativa contable.</w:t>
      </w:r>
    </w:p>
    <w:p>
      <w:pPr>
        <w:pStyle w:val="BodyText"/>
        <w:spacing w:line="304" w:lineRule="auto" w:before="108"/>
        <w:ind w:left="403" w:right="412"/>
        <w:jc w:val="both"/>
      </w:pPr>
      <w:r>
        <w:rPr>
          <w:w w:val="105"/>
        </w:rPr>
        <w:t>Opcionalmente y de forma irrevocable, se pueden incluir en su integridad en esta categoría los pasivos financieros híbridos sujeto a los requisitos establecidos en el PGC.</w:t>
      </w:r>
    </w:p>
    <w:p>
      <w:pPr>
        <w:pStyle w:val="BodyText"/>
        <w:spacing w:line="302" w:lineRule="auto" w:before="111"/>
        <w:ind w:left="403" w:right="418"/>
        <w:jc w:val="both"/>
      </w:pPr>
      <w:r>
        <w:rPr>
          <w:w w:val="105"/>
        </w:rPr>
        <w:t>Valoración inicial: Valor razonable, que, salvo evidencia en contrario,  es  el precio de la transacción, que equivaldrá al valor razonable de la contraprestación recibida. Los costes de transacción que les sean directamente atribuibles</w:t>
      </w:r>
      <w:r>
        <w:rPr>
          <w:spacing w:val="40"/>
          <w:w w:val="105"/>
        </w:rPr>
        <w:t> </w:t>
      </w:r>
      <w:r>
        <w:rPr>
          <w:w w:val="105"/>
        </w:rPr>
        <w:t>se reconocen en la cuenta </w:t>
      </w:r>
      <w:r>
        <w:rPr>
          <w:spacing w:val="2"/>
          <w:w w:val="105"/>
        </w:rPr>
        <w:t>de </w:t>
      </w:r>
      <w:r>
        <w:rPr>
          <w:w w:val="105"/>
        </w:rPr>
        <w:t>pérdidas y ganancias del</w:t>
      </w:r>
      <w:r>
        <w:rPr>
          <w:spacing w:val="13"/>
          <w:w w:val="105"/>
        </w:rPr>
        <w:t> </w:t>
      </w:r>
      <w:r>
        <w:rPr>
          <w:w w:val="105"/>
        </w:rPr>
        <w:t>ejercicio.</w:t>
      </w:r>
    </w:p>
    <w:p>
      <w:pPr>
        <w:pStyle w:val="BodyText"/>
        <w:spacing w:before="117"/>
        <w:ind w:left="403"/>
        <w:jc w:val="both"/>
      </w:pPr>
      <w:r>
        <w:rPr>
          <w:w w:val="105"/>
        </w:rPr>
        <w:t>Valoración posterior: Valor razonable con cambios en la cuenta de pérdidas y ganancias.</w:t>
      </w:r>
    </w:p>
    <w:p>
      <w:pPr>
        <w:pStyle w:val="BodyText"/>
        <w:spacing w:before="5"/>
        <w:rPr>
          <w:sz w:val="14"/>
        </w:rPr>
      </w:pPr>
    </w:p>
    <w:p>
      <w:pPr>
        <w:pStyle w:val="Heading4"/>
        <w:ind w:firstLine="0"/>
        <w:jc w:val="both"/>
        <w:rPr>
          <w:i/>
        </w:rPr>
      </w:pPr>
      <w:r>
        <w:rPr>
          <w:i/>
          <w:w w:val="105"/>
        </w:rPr>
        <w:t>Baja de pasivos financieros</w:t>
      </w:r>
    </w:p>
    <w:p>
      <w:pPr>
        <w:pStyle w:val="BodyText"/>
        <w:spacing w:before="10"/>
        <w:rPr>
          <w:b/>
          <w:i/>
          <w:sz w:val="13"/>
        </w:rPr>
      </w:pPr>
    </w:p>
    <w:p>
      <w:pPr>
        <w:pStyle w:val="BodyText"/>
        <w:spacing w:line="304" w:lineRule="auto"/>
        <w:ind w:left="403" w:right="414"/>
        <w:jc w:val="both"/>
      </w:pPr>
      <w:r>
        <w:rPr>
          <w:w w:val="105"/>
        </w:rPr>
        <w:t>La empresa dará de baja un pasivo financiero, o parte del mismo, cuando la obligación se haya extinguido; es decir, cuando haya sido satisfecha, cancelada o haya expirado.</w:t>
      </w:r>
    </w:p>
    <w:p>
      <w:pPr>
        <w:pStyle w:val="Heading4"/>
        <w:numPr>
          <w:ilvl w:val="2"/>
          <w:numId w:val="4"/>
        </w:numPr>
        <w:tabs>
          <w:tab w:pos="864" w:val="left" w:leader="none"/>
        </w:tabs>
        <w:spacing w:line="240" w:lineRule="auto" w:before="119" w:after="0"/>
        <w:ind w:left="863" w:right="0" w:hanging="461"/>
        <w:jc w:val="both"/>
        <w:rPr>
          <w:i/>
        </w:rPr>
      </w:pPr>
      <w:r>
        <w:rPr>
          <w:i/>
          <w:w w:val="105"/>
        </w:rPr>
        <w:t>Inversiones en empresas del grupo, multigrupo y</w:t>
      </w:r>
      <w:r>
        <w:rPr>
          <w:i/>
          <w:spacing w:val="5"/>
          <w:w w:val="105"/>
        </w:rPr>
        <w:t> </w:t>
      </w:r>
      <w:r>
        <w:rPr>
          <w:i/>
          <w:w w:val="105"/>
        </w:rPr>
        <w:t>asociadas.</w:t>
      </w:r>
    </w:p>
    <w:p>
      <w:pPr>
        <w:pStyle w:val="BodyText"/>
        <w:spacing w:before="9"/>
        <w:rPr>
          <w:b/>
          <w:i/>
          <w:sz w:val="13"/>
        </w:rPr>
      </w:pPr>
    </w:p>
    <w:p>
      <w:pPr>
        <w:pStyle w:val="BodyText"/>
        <w:spacing w:line="302" w:lineRule="auto" w:before="1"/>
        <w:ind w:left="403" w:right="419"/>
        <w:jc w:val="both"/>
      </w:pPr>
      <w:r>
        <w:rPr>
          <w:w w:val="105"/>
        </w:rPr>
        <w:t>Las inversiones en empresas del grupo, multigrupo y asociadas, se valoran inicialmente por su coste, que equivale al valor razonable de la contraprestación entregada más los costes de transacción.</w:t>
      </w:r>
    </w:p>
    <w:p>
      <w:pPr>
        <w:pStyle w:val="BodyText"/>
        <w:spacing w:line="302" w:lineRule="auto" w:before="115"/>
        <w:ind w:left="403" w:right="408"/>
        <w:jc w:val="both"/>
      </w:pPr>
      <w:r>
        <w:rPr>
          <w:w w:val="105"/>
        </w:rPr>
        <w:t>Al menos al cierre del ejercicio, la Sociedad procede a evaluar si ha existido deterioro </w:t>
      </w:r>
      <w:r>
        <w:rPr>
          <w:spacing w:val="2"/>
          <w:w w:val="105"/>
        </w:rPr>
        <w:t>de </w:t>
      </w:r>
      <w:r>
        <w:rPr>
          <w:w w:val="105"/>
        </w:rPr>
        <w:t>valor </w:t>
      </w:r>
      <w:r>
        <w:rPr>
          <w:spacing w:val="2"/>
          <w:w w:val="105"/>
        </w:rPr>
        <w:t>de las </w:t>
      </w:r>
      <w:r>
        <w:rPr>
          <w:w w:val="105"/>
        </w:rPr>
        <w:t>inversiones. Las correcciones valorativas por deterioro y en su caso la reversión, se llevan como gasto o ingreso,  respectivamente,  en la cuenta </w:t>
      </w:r>
      <w:r>
        <w:rPr>
          <w:spacing w:val="2"/>
          <w:w w:val="105"/>
        </w:rPr>
        <w:t>de </w:t>
      </w:r>
      <w:r>
        <w:rPr>
          <w:w w:val="105"/>
        </w:rPr>
        <w:t>pérdidas y</w:t>
      </w:r>
      <w:r>
        <w:rPr>
          <w:spacing w:val="3"/>
          <w:w w:val="105"/>
        </w:rPr>
        <w:t> </w:t>
      </w:r>
      <w:r>
        <w:rPr>
          <w:w w:val="105"/>
        </w:rPr>
        <w:t>ganancias.</w:t>
      </w:r>
    </w:p>
    <w:p>
      <w:pPr>
        <w:pStyle w:val="BodyText"/>
        <w:spacing w:line="302" w:lineRule="auto" w:before="117"/>
        <w:ind w:left="403" w:right="411"/>
        <w:jc w:val="both"/>
      </w:pPr>
      <w:r>
        <w:rPr>
          <w:w w:val="105"/>
        </w:rPr>
        <w:t>La corrección por deterioro se aplicará siempre que exista evidencia objetiva de que el valor en libros de una inversión no será recuperable. Se entiende por valor recuperable, el mayor importe entre su valor razonable menos los costes de venta y el valor actual de los flujos de efectivo futuros derivados de la inversión, calculados bien mediante la estimación de los que se espera recibir como consecuencia del reparto de dividendos realizados por la empresa participada y de la enajenación o baja en cuentas de la inversión misma, bien mediante la estimación de su participación en los flujos de efectivo que se espera que sean generados por la empresa participada. Salvo mejor evidencia del importe recuperable, se tomará en consideración el patrimonio neto de la Entidad participada corregido por las plusvalías tácitas existentes en la fecha de la valoración.</w:t>
      </w:r>
    </w:p>
    <w:p>
      <w:pPr>
        <w:pStyle w:val="BodyText"/>
        <w:spacing w:line="304" w:lineRule="auto" w:before="108"/>
        <w:ind w:left="403" w:right="414"/>
        <w:jc w:val="both"/>
      </w:pPr>
      <w:r>
        <w:rPr>
          <w:w w:val="105"/>
        </w:rPr>
        <w:t>Los pasivos financieros y los instrumentos </w:t>
      </w:r>
      <w:r>
        <w:rPr>
          <w:spacing w:val="2"/>
          <w:w w:val="105"/>
        </w:rPr>
        <w:t>de </w:t>
      </w:r>
      <w:r>
        <w:rPr>
          <w:w w:val="105"/>
        </w:rPr>
        <w:t>patrimonio </w:t>
      </w:r>
      <w:r>
        <w:rPr>
          <w:spacing w:val="4"/>
          <w:w w:val="105"/>
        </w:rPr>
        <w:t>se </w:t>
      </w:r>
      <w:r>
        <w:rPr>
          <w:w w:val="105"/>
        </w:rPr>
        <w:t>clasifican conforme al contenido de los acuerdos contractuales pactados y teniendo en cuenta el fondo económico. Un instrumento de patrimonio es  un contrato</w:t>
      </w:r>
      <w:r>
        <w:rPr>
          <w:spacing w:val="40"/>
          <w:w w:val="105"/>
        </w:rPr>
        <w:t> </w:t>
      </w:r>
      <w:r>
        <w:rPr>
          <w:w w:val="105"/>
        </w:rPr>
        <w:t>que representa una participación residual en el patrimonio del grupo una vez deducidos todos sus</w:t>
      </w:r>
      <w:r>
        <w:rPr>
          <w:spacing w:val="24"/>
          <w:w w:val="105"/>
        </w:rPr>
        <w:t> </w:t>
      </w:r>
      <w:r>
        <w:rPr>
          <w:w w:val="105"/>
        </w:rPr>
        <w:t>pasivos.</w:t>
      </w:r>
    </w:p>
    <w:p>
      <w:pPr>
        <w:pStyle w:val="Heading4"/>
        <w:numPr>
          <w:ilvl w:val="2"/>
          <w:numId w:val="4"/>
        </w:numPr>
        <w:tabs>
          <w:tab w:pos="864" w:val="left" w:leader="none"/>
        </w:tabs>
        <w:spacing w:line="240" w:lineRule="auto" w:before="118" w:after="0"/>
        <w:ind w:left="863" w:right="0" w:hanging="461"/>
        <w:jc w:val="both"/>
        <w:rPr>
          <w:i/>
        </w:rPr>
      </w:pPr>
      <w:r>
        <w:rPr>
          <w:i/>
          <w:w w:val="105"/>
        </w:rPr>
        <w:t>Fianzas entregadas y</w:t>
      </w:r>
      <w:r>
        <w:rPr>
          <w:i/>
          <w:spacing w:val="7"/>
          <w:w w:val="105"/>
        </w:rPr>
        <w:t> </w:t>
      </w:r>
      <w:r>
        <w:rPr>
          <w:i/>
          <w:w w:val="105"/>
        </w:rPr>
        <w:t>recibidas.</w:t>
      </w:r>
    </w:p>
    <w:p>
      <w:pPr>
        <w:pStyle w:val="BodyText"/>
        <w:spacing w:before="10"/>
        <w:rPr>
          <w:b/>
          <w:i/>
          <w:sz w:val="13"/>
        </w:rPr>
      </w:pPr>
    </w:p>
    <w:p>
      <w:pPr>
        <w:pStyle w:val="BodyText"/>
        <w:spacing w:line="302" w:lineRule="auto"/>
        <w:ind w:left="403" w:right="413"/>
        <w:jc w:val="both"/>
      </w:pPr>
      <w:r>
        <w:rPr>
          <w:w w:val="105"/>
        </w:rPr>
        <w:t>Los depósitos o fianzas constituidas en garantía de determinadas obligaciones se valoran por el importe efectivamente satisfecho, que no difiere significativamente de su valor razonable.</w:t>
      </w:r>
    </w:p>
    <w:p>
      <w:pPr>
        <w:pStyle w:val="BodyText"/>
        <w:spacing w:line="302" w:lineRule="auto" w:before="116"/>
        <w:ind w:left="403" w:right="409"/>
        <w:jc w:val="both"/>
      </w:pPr>
      <w:r>
        <w:rPr>
          <w:w w:val="105"/>
        </w:rPr>
        <w:t>En las fianzas entregadas o recibidas por arrendamientos operativos o por prestación </w:t>
      </w:r>
      <w:r>
        <w:rPr>
          <w:spacing w:val="2"/>
          <w:w w:val="105"/>
        </w:rPr>
        <w:t>de </w:t>
      </w:r>
      <w:r>
        <w:rPr>
          <w:w w:val="105"/>
        </w:rPr>
        <w:t>servicios, la diferencia  entre su valor razonable y el importe desembolsado se considera como un pago o cobro anticipado por el arrendamiento o prestación del servicio, que se imputa a la cuenta de pérdidas y ganancias durante el periodo del arrendamiento o durante el periodo en el que se presta el servicio, </w:t>
      </w:r>
      <w:r>
        <w:rPr>
          <w:spacing w:val="2"/>
          <w:w w:val="105"/>
        </w:rPr>
        <w:t>de </w:t>
      </w:r>
      <w:r>
        <w:rPr>
          <w:w w:val="105"/>
        </w:rPr>
        <w:t>acuerdo con la norma sobre ingresos por ventas y prestación de</w:t>
      </w:r>
      <w:r>
        <w:rPr>
          <w:spacing w:val="1"/>
          <w:w w:val="105"/>
        </w:rPr>
        <w:t> </w:t>
      </w:r>
      <w:r>
        <w:rPr>
          <w:w w:val="105"/>
        </w:rPr>
        <w:t>servicios.</w:t>
      </w:r>
    </w:p>
    <w:p>
      <w:pPr>
        <w:pStyle w:val="BodyText"/>
        <w:spacing w:line="304" w:lineRule="auto" w:before="111"/>
        <w:ind w:left="403" w:right="407"/>
        <w:jc w:val="both"/>
      </w:pPr>
      <w:r>
        <w:rPr>
          <w:w w:val="105"/>
        </w:rPr>
        <w:t>Al estimar el valor razonable de las fianzas, se toma como periodo remanente el plazo contractual mínimo comprometido durante el cual no se pueda devolver su importe, sin tomar en consideración el comportamiento estadístico de devolución.</w:t>
      </w:r>
    </w:p>
    <w:p>
      <w:pPr>
        <w:spacing w:after="0" w:line="304" w:lineRule="auto"/>
        <w:jc w:val="both"/>
        <w:sectPr>
          <w:pgSz w:w="11920" w:h="16850"/>
          <w:pgMar w:header="735" w:footer="891" w:top="1600" w:bottom="1080" w:left="1300" w:right="1300"/>
        </w:sectPr>
      </w:pPr>
    </w:p>
    <w:p>
      <w:pPr>
        <w:pStyle w:val="BodyText"/>
        <w:spacing w:line="302" w:lineRule="auto" w:before="147"/>
        <w:ind w:left="403" w:right="411"/>
        <w:jc w:val="both"/>
      </w:pPr>
      <w:r>
        <w:rPr>
          <w:w w:val="105"/>
        </w:rPr>
        <w:t>Cuando la fianza sea a corto plazo, no es necesario realizar el descuento de flujos de efectivo si su efecto no es significativo.</w:t>
      </w:r>
    </w:p>
    <w:p>
      <w:pPr>
        <w:pStyle w:val="Heading4"/>
        <w:numPr>
          <w:ilvl w:val="2"/>
          <w:numId w:val="4"/>
        </w:numPr>
        <w:tabs>
          <w:tab w:pos="872" w:val="left" w:leader="none"/>
        </w:tabs>
        <w:spacing w:line="240" w:lineRule="auto" w:before="122" w:after="0"/>
        <w:ind w:left="871" w:right="0" w:hanging="469"/>
        <w:jc w:val="both"/>
        <w:rPr>
          <w:i/>
        </w:rPr>
      </w:pPr>
      <w:r>
        <w:rPr>
          <w:i/>
          <w:w w:val="105"/>
        </w:rPr>
        <w:t>Valor</w:t>
      </w:r>
      <w:r>
        <w:rPr>
          <w:i/>
          <w:spacing w:val="2"/>
          <w:w w:val="105"/>
        </w:rPr>
        <w:t> </w:t>
      </w:r>
      <w:r>
        <w:rPr>
          <w:i/>
          <w:w w:val="105"/>
        </w:rPr>
        <w:t>razonable.</w:t>
      </w:r>
    </w:p>
    <w:p>
      <w:pPr>
        <w:pStyle w:val="BodyText"/>
        <w:spacing w:before="10"/>
        <w:rPr>
          <w:b/>
          <w:i/>
          <w:sz w:val="13"/>
        </w:rPr>
      </w:pPr>
    </w:p>
    <w:p>
      <w:pPr>
        <w:pStyle w:val="BodyText"/>
        <w:spacing w:line="302" w:lineRule="auto"/>
        <w:ind w:left="403" w:right="404"/>
        <w:jc w:val="both"/>
      </w:pPr>
      <w:r>
        <w:rPr>
          <w:w w:val="105"/>
        </w:rPr>
        <w:t>El valor razonable es el precio que se recibe por la venta de un activo o se paga para transferir o cancelar un pasivo mediante una transacción ordenada entre participantes en el mercado en la fecha de valoración. El valor razonable se determina sin practicar ninguna deducción por los costes de transacción en que pudiera incurrirse por causa </w:t>
      </w:r>
      <w:r>
        <w:rPr>
          <w:spacing w:val="2"/>
          <w:w w:val="105"/>
        </w:rPr>
        <w:t>de </w:t>
      </w:r>
      <w:r>
        <w:rPr>
          <w:w w:val="105"/>
        </w:rPr>
        <w:t>enajenación o disposición de otros medios. No tendrá en ningún caso el carácter de valor razonable el que sea resultado </w:t>
      </w:r>
      <w:r>
        <w:rPr>
          <w:spacing w:val="2"/>
          <w:w w:val="105"/>
        </w:rPr>
        <w:t>de </w:t>
      </w:r>
      <w:r>
        <w:rPr>
          <w:w w:val="105"/>
        </w:rPr>
        <w:t>una transacción forzada, urgente o como consecuencia de una situación de liquidación</w:t>
      </w:r>
      <w:r>
        <w:rPr>
          <w:spacing w:val="4"/>
          <w:w w:val="105"/>
        </w:rPr>
        <w:t> </w:t>
      </w:r>
      <w:r>
        <w:rPr>
          <w:w w:val="105"/>
        </w:rPr>
        <w:t>involuntaria.</w:t>
      </w:r>
    </w:p>
    <w:p>
      <w:pPr>
        <w:pStyle w:val="BodyText"/>
        <w:spacing w:line="302" w:lineRule="auto" w:before="112"/>
        <w:ind w:left="403" w:right="416"/>
        <w:jc w:val="both"/>
      </w:pPr>
      <w:r>
        <w:rPr>
          <w:w w:val="105"/>
        </w:rPr>
        <w:t>Con carácter general, en la valoración de instrumentos financieros valorados a valor razonable, la Sociedad calcula éste por referencia a un valor fiable de mercado, constituyendo el precio cotizado en un mercado activo la mejor referencia de dicho valor razonable. Para aquellos instrumentos respecto de los cuales no exista un mercado activo, el valor razonable se obtiene, en su caso, mediante la aplicación de modelos y técnicas de valoración.</w:t>
      </w:r>
    </w:p>
    <w:p>
      <w:pPr>
        <w:pStyle w:val="BodyText"/>
        <w:spacing w:line="304" w:lineRule="auto" w:before="118"/>
        <w:ind w:left="403" w:right="404"/>
        <w:jc w:val="both"/>
      </w:pPr>
      <w:r>
        <w:rPr>
          <w:w w:val="105"/>
        </w:rPr>
        <w:t>Se asume que el valor en libros de los créditos y débitos por operaciones comerciales se aproxima a su valor razonable</w:t>
      </w:r>
    </w:p>
    <w:p>
      <w:pPr>
        <w:pStyle w:val="Heading4"/>
        <w:numPr>
          <w:ilvl w:val="1"/>
          <w:numId w:val="1"/>
        </w:numPr>
        <w:tabs>
          <w:tab w:pos="729" w:val="left" w:leader="none"/>
        </w:tabs>
        <w:spacing w:line="240" w:lineRule="auto" w:before="119" w:after="0"/>
        <w:ind w:left="729" w:right="0" w:hanging="326"/>
        <w:jc w:val="both"/>
        <w:rPr>
          <w:i/>
        </w:rPr>
      </w:pPr>
      <w:r>
        <w:rPr>
          <w:i/>
          <w:w w:val="105"/>
        </w:rPr>
        <w:t>Existencias.</w:t>
      </w:r>
    </w:p>
    <w:p>
      <w:pPr>
        <w:pStyle w:val="BodyText"/>
        <w:spacing w:before="10"/>
        <w:rPr>
          <w:b/>
          <w:i/>
          <w:sz w:val="13"/>
        </w:rPr>
      </w:pPr>
    </w:p>
    <w:p>
      <w:pPr>
        <w:pStyle w:val="BodyText"/>
        <w:ind w:left="403"/>
        <w:jc w:val="both"/>
      </w:pPr>
      <w:r>
        <w:rPr>
          <w:w w:val="105"/>
        </w:rPr>
        <w:t>La Sociedad no posee existencias que sean objeto inventario.</w:t>
      </w:r>
    </w:p>
    <w:p>
      <w:pPr>
        <w:pStyle w:val="BodyText"/>
        <w:spacing w:before="4"/>
        <w:rPr>
          <w:sz w:val="14"/>
        </w:rPr>
      </w:pPr>
    </w:p>
    <w:p>
      <w:pPr>
        <w:pStyle w:val="Heading4"/>
        <w:numPr>
          <w:ilvl w:val="1"/>
          <w:numId w:val="1"/>
        </w:numPr>
        <w:tabs>
          <w:tab w:pos="729" w:val="left" w:leader="none"/>
        </w:tabs>
        <w:spacing w:line="240" w:lineRule="auto" w:before="0" w:after="0"/>
        <w:ind w:left="729" w:right="0" w:hanging="326"/>
        <w:jc w:val="left"/>
        <w:rPr>
          <w:i/>
        </w:rPr>
      </w:pPr>
      <w:r>
        <w:rPr>
          <w:i/>
          <w:w w:val="105"/>
        </w:rPr>
        <w:t>Transacciones en moneda</w:t>
      </w:r>
      <w:r>
        <w:rPr>
          <w:i/>
          <w:spacing w:val="2"/>
          <w:w w:val="105"/>
        </w:rPr>
        <w:t> </w:t>
      </w:r>
      <w:r>
        <w:rPr>
          <w:i/>
          <w:w w:val="105"/>
        </w:rPr>
        <w:t>extranjera.</w:t>
      </w:r>
    </w:p>
    <w:p>
      <w:pPr>
        <w:pStyle w:val="BodyText"/>
        <w:spacing w:before="10"/>
        <w:rPr>
          <w:b/>
          <w:i/>
          <w:sz w:val="13"/>
        </w:rPr>
      </w:pPr>
    </w:p>
    <w:p>
      <w:pPr>
        <w:pStyle w:val="BodyText"/>
        <w:ind w:left="403"/>
        <w:jc w:val="both"/>
      </w:pPr>
      <w:r>
        <w:rPr>
          <w:w w:val="105"/>
        </w:rPr>
        <w:t>La Sociedad no realiza transacciones en moneda extranjera, por lo que no se producen diferencias de cambio.</w:t>
      </w:r>
    </w:p>
    <w:p>
      <w:pPr>
        <w:pStyle w:val="BodyText"/>
        <w:spacing w:before="5"/>
        <w:rPr>
          <w:sz w:val="14"/>
        </w:rPr>
      </w:pPr>
    </w:p>
    <w:p>
      <w:pPr>
        <w:pStyle w:val="Heading4"/>
        <w:numPr>
          <w:ilvl w:val="1"/>
          <w:numId w:val="1"/>
        </w:numPr>
        <w:tabs>
          <w:tab w:pos="729" w:val="left" w:leader="none"/>
        </w:tabs>
        <w:spacing w:line="240" w:lineRule="auto" w:before="0" w:after="0"/>
        <w:ind w:left="729" w:right="0" w:hanging="326"/>
        <w:jc w:val="left"/>
        <w:rPr>
          <w:i/>
        </w:rPr>
      </w:pPr>
      <w:r>
        <w:rPr>
          <w:i/>
          <w:w w:val="105"/>
        </w:rPr>
        <w:t>Impuestos sobre beneficios.</w:t>
      </w:r>
    </w:p>
    <w:p>
      <w:pPr>
        <w:pStyle w:val="BodyText"/>
        <w:spacing w:before="10"/>
        <w:rPr>
          <w:b/>
          <w:i/>
          <w:sz w:val="13"/>
        </w:rPr>
      </w:pPr>
    </w:p>
    <w:p>
      <w:pPr>
        <w:pStyle w:val="BodyText"/>
        <w:spacing w:line="300" w:lineRule="auto"/>
        <w:ind w:left="403" w:right="398"/>
        <w:jc w:val="both"/>
      </w:pPr>
      <w:r>
        <w:rPr>
          <w:w w:val="105"/>
        </w:rPr>
        <w:t>El gasto por impuesto corriente se determina mediante la suma del gasto por impuesto corriente y el impuesto diferido. El gasto por impuesto corriente de determina aplicando el tipo de gravamen vigente a la ganancia fiscal, y minorando el resultado así obtenido en el importe de las bonificaciones y deducciones generales y aplicadas en el ejercicio.</w:t>
      </w:r>
    </w:p>
    <w:p>
      <w:pPr>
        <w:pStyle w:val="BodyText"/>
        <w:spacing w:line="300" w:lineRule="auto" w:before="126"/>
        <w:ind w:left="403" w:right="411"/>
        <w:jc w:val="both"/>
      </w:pPr>
      <w:r>
        <w:rPr>
          <w:w w:val="105"/>
        </w:rPr>
        <w:t>Los activos y pasivos por impuestos diferidos, proceden de las diferencias temporarias definidas como los importes que se prevén pagaderos o recuperables en el futuro y que derivan de la diferencia entre el valor en libros de los activos y pasivos y su base fiscal. Dichos importes se registran aplicando a la diferencia temporaria el tipo de gravamen al que se espera recuperarlos o liquidarlos.</w:t>
      </w:r>
    </w:p>
    <w:p>
      <w:pPr>
        <w:pStyle w:val="BodyText"/>
        <w:spacing w:line="304" w:lineRule="auto" w:before="119"/>
        <w:ind w:left="403" w:right="418"/>
        <w:jc w:val="both"/>
      </w:pPr>
      <w:r>
        <w:rPr>
          <w:w w:val="105"/>
        </w:rPr>
        <w:t>Los activos por impuestos diferidos surgen, igualmente, como consecuencia de las bases imponibles negativas pendientes de compensar y de los créditos por deducciones fiscales generadas y no aplicadas.</w:t>
      </w:r>
    </w:p>
    <w:p>
      <w:pPr>
        <w:pStyle w:val="BodyText"/>
        <w:spacing w:line="304" w:lineRule="auto" w:before="112"/>
        <w:ind w:left="403" w:right="408"/>
        <w:jc w:val="both"/>
      </w:pPr>
      <w:r>
        <w:rPr>
          <w:w w:val="105"/>
        </w:rPr>
        <w:t>Se reconoce el correspondiente pasivo por impuestos diferidos para todas las diferencias temporarias imponibles, salvo que la diferencia temporaria se derive del reconocimiento inicial de un fondo </w:t>
      </w:r>
      <w:r>
        <w:rPr>
          <w:spacing w:val="2"/>
          <w:w w:val="105"/>
        </w:rPr>
        <w:t>de </w:t>
      </w:r>
      <w:r>
        <w:rPr>
          <w:w w:val="105"/>
        </w:rPr>
        <w:t>comercio o del reconocimiento inicial en una transacción que no es una combinación </w:t>
      </w:r>
      <w:r>
        <w:rPr>
          <w:spacing w:val="2"/>
          <w:w w:val="105"/>
        </w:rPr>
        <w:t>de </w:t>
      </w:r>
      <w:r>
        <w:rPr>
          <w:w w:val="105"/>
        </w:rPr>
        <w:t>negocios </w:t>
      </w:r>
      <w:r>
        <w:rPr>
          <w:spacing w:val="2"/>
          <w:w w:val="105"/>
        </w:rPr>
        <w:t>de </w:t>
      </w:r>
      <w:r>
        <w:rPr>
          <w:w w:val="105"/>
        </w:rPr>
        <w:t>otros activos y pasivos en una operación que en el momento </w:t>
      </w:r>
      <w:r>
        <w:rPr>
          <w:spacing w:val="2"/>
          <w:w w:val="105"/>
        </w:rPr>
        <w:t>de </w:t>
      </w:r>
      <w:r>
        <w:rPr>
          <w:w w:val="105"/>
        </w:rPr>
        <w:t>su realización, no afecte ni </w:t>
      </w:r>
      <w:r>
        <w:rPr>
          <w:spacing w:val="4"/>
          <w:w w:val="105"/>
        </w:rPr>
        <w:t>al </w:t>
      </w:r>
      <w:r>
        <w:rPr>
          <w:w w:val="105"/>
        </w:rPr>
        <w:t>resultado fiscal ni</w:t>
      </w:r>
      <w:r>
        <w:rPr>
          <w:spacing w:val="8"/>
          <w:w w:val="105"/>
        </w:rPr>
        <w:t> </w:t>
      </w:r>
      <w:r>
        <w:rPr>
          <w:w w:val="105"/>
        </w:rPr>
        <w:t>contable.</w:t>
      </w:r>
    </w:p>
    <w:p>
      <w:pPr>
        <w:pStyle w:val="BodyText"/>
        <w:spacing w:line="300" w:lineRule="auto" w:before="110"/>
        <w:ind w:left="403" w:right="408"/>
        <w:jc w:val="both"/>
      </w:pPr>
      <w:r>
        <w:rPr>
          <w:w w:val="105"/>
        </w:rPr>
        <w:t>Por su parte, los activos por impuestos diferidos, identificados con diferencias temporarias deducibles, solo se reconocen en el caso de que se considere probable que la Sociedad va a tener en el futuro suficientes ganancias fiscales contra las que poder hacerlos efectivos y </w:t>
      </w:r>
      <w:r>
        <w:rPr>
          <w:spacing w:val="2"/>
          <w:w w:val="105"/>
        </w:rPr>
        <w:t>no </w:t>
      </w:r>
      <w:r>
        <w:rPr>
          <w:w w:val="105"/>
        </w:rPr>
        <w:t>procedan del reconocimiento inicial </w:t>
      </w:r>
      <w:r>
        <w:rPr>
          <w:spacing w:val="2"/>
          <w:w w:val="105"/>
        </w:rPr>
        <w:t>de </w:t>
      </w:r>
      <w:r>
        <w:rPr>
          <w:w w:val="105"/>
        </w:rPr>
        <w:t>otros activos y pasivos en una operación que no sea una combinación </w:t>
      </w:r>
      <w:r>
        <w:rPr>
          <w:spacing w:val="2"/>
          <w:w w:val="105"/>
        </w:rPr>
        <w:t>de </w:t>
      </w:r>
      <w:r>
        <w:rPr>
          <w:w w:val="105"/>
        </w:rPr>
        <w:t>negocios y que </w:t>
      </w:r>
      <w:r>
        <w:rPr>
          <w:spacing w:val="2"/>
          <w:w w:val="105"/>
        </w:rPr>
        <w:t>no </w:t>
      </w:r>
      <w:r>
        <w:rPr>
          <w:w w:val="105"/>
        </w:rPr>
        <w:t>afecta ni al resultado </w:t>
      </w:r>
      <w:r>
        <w:rPr>
          <w:spacing w:val="2"/>
          <w:w w:val="105"/>
        </w:rPr>
        <w:t>fiscal </w:t>
      </w:r>
      <w:r>
        <w:rPr>
          <w:w w:val="105"/>
        </w:rPr>
        <w:t>ni al resultado contable. El resto </w:t>
      </w:r>
      <w:r>
        <w:rPr>
          <w:spacing w:val="2"/>
          <w:w w:val="105"/>
        </w:rPr>
        <w:t>de </w:t>
      </w:r>
      <w:r>
        <w:rPr>
          <w:w w:val="105"/>
        </w:rPr>
        <w:t>activos por impuestos diferidos (bases imponibles negativas y deducciones pendientes </w:t>
      </w:r>
      <w:r>
        <w:rPr>
          <w:spacing w:val="2"/>
          <w:w w:val="105"/>
        </w:rPr>
        <w:t>de </w:t>
      </w:r>
      <w:r>
        <w:rPr>
          <w:w w:val="105"/>
        </w:rPr>
        <w:t>compensar) solamente </w:t>
      </w:r>
      <w:r>
        <w:rPr>
          <w:spacing w:val="4"/>
          <w:w w:val="105"/>
        </w:rPr>
        <w:t>se </w:t>
      </w:r>
      <w:r>
        <w:rPr>
          <w:w w:val="105"/>
        </w:rPr>
        <w:t>reconocen en el caso de que se considere probable que la Sociedad vaya a tener en el futuro suficientes ganancias fiscales contra las que poder hacerlos</w:t>
      </w:r>
      <w:r>
        <w:rPr>
          <w:spacing w:val="22"/>
          <w:w w:val="105"/>
        </w:rPr>
        <w:t> </w:t>
      </w:r>
      <w:r>
        <w:rPr>
          <w:w w:val="105"/>
        </w:rPr>
        <w:t>efectivos.</w:t>
      </w:r>
    </w:p>
    <w:p>
      <w:pPr>
        <w:pStyle w:val="BodyText"/>
        <w:spacing w:line="304" w:lineRule="auto" w:before="121"/>
        <w:ind w:left="403" w:right="406"/>
        <w:jc w:val="both"/>
      </w:pPr>
      <w:r>
        <w:rPr>
          <w:w w:val="105"/>
        </w:rPr>
        <w:t>Con ocasión </w:t>
      </w:r>
      <w:r>
        <w:rPr>
          <w:spacing w:val="2"/>
          <w:w w:val="105"/>
        </w:rPr>
        <w:t>de </w:t>
      </w:r>
      <w:r>
        <w:rPr>
          <w:w w:val="105"/>
        </w:rPr>
        <w:t>cada cierre contable, </w:t>
      </w:r>
      <w:r>
        <w:rPr>
          <w:spacing w:val="4"/>
          <w:w w:val="105"/>
        </w:rPr>
        <w:t>se </w:t>
      </w:r>
      <w:r>
        <w:rPr>
          <w:w w:val="105"/>
        </w:rPr>
        <w:t>revisan los impuestos diferidos registrados (tanto activos como pasivos) con objeto de comprobar que se mantienen vigentes, efectuándose las oportunas correcciones a los mismos,  </w:t>
      </w:r>
      <w:r>
        <w:rPr>
          <w:spacing w:val="2"/>
          <w:w w:val="105"/>
        </w:rPr>
        <w:t>de  </w:t>
      </w:r>
      <w:r>
        <w:rPr>
          <w:w w:val="105"/>
        </w:rPr>
        <w:t>acuerdo </w:t>
      </w:r>
      <w:r>
        <w:rPr>
          <w:spacing w:val="2"/>
          <w:w w:val="105"/>
        </w:rPr>
        <w:t>con </w:t>
      </w:r>
      <w:r>
        <w:rPr>
          <w:w w:val="105"/>
        </w:rPr>
        <w:t>los resultados </w:t>
      </w:r>
      <w:r>
        <w:rPr>
          <w:spacing w:val="2"/>
          <w:w w:val="105"/>
        </w:rPr>
        <w:t>de </w:t>
      </w:r>
      <w:r>
        <w:rPr>
          <w:w w:val="105"/>
        </w:rPr>
        <w:t>los análisis</w:t>
      </w:r>
      <w:r>
        <w:rPr>
          <w:spacing w:val="6"/>
          <w:w w:val="105"/>
        </w:rPr>
        <w:t> </w:t>
      </w:r>
      <w:r>
        <w:rPr>
          <w:w w:val="105"/>
        </w:rPr>
        <w:t>realizados.</w:t>
      </w:r>
    </w:p>
    <w:p>
      <w:pPr>
        <w:spacing w:after="0" w:line="304" w:lineRule="auto"/>
        <w:jc w:val="both"/>
        <w:sectPr>
          <w:pgSz w:w="11920" w:h="16850"/>
          <w:pgMar w:header="735" w:footer="891" w:top="1600" w:bottom="1080" w:left="1300" w:right="1300"/>
        </w:sectPr>
      </w:pPr>
    </w:p>
    <w:p>
      <w:pPr>
        <w:pStyle w:val="BodyText"/>
        <w:spacing w:line="302" w:lineRule="auto" w:before="147"/>
        <w:ind w:left="403" w:right="408"/>
        <w:jc w:val="both"/>
      </w:pPr>
      <w:r>
        <w:rPr>
          <w:w w:val="105"/>
        </w:rPr>
        <w:t>El gasto o el ingreso por impuesto diferido se corresponde con el reconocimiento y la cancelación de los pasivos y activos por impuesto diferido, así como, en su caso, por el reconocimiento e imputación a la cuenta de pérdidas y ganancias del ingreso directamente imputado al patrimonio neto que pueda resultar de la contabilización  de aquellas deducciones y otras ventajas fiscales que tengan la naturaleza económica de</w:t>
      </w:r>
      <w:r>
        <w:rPr>
          <w:spacing w:val="20"/>
          <w:w w:val="105"/>
        </w:rPr>
        <w:t> </w:t>
      </w:r>
      <w:r>
        <w:rPr>
          <w:w w:val="105"/>
        </w:rPr>
        <w:t>subvención.</w:t>
      </w:r>
    </w:p>
    <w:p>
      <w:pPr>
        <w:pStyle w:val="Heading4"/>
        <w:numPr>
          <w:ilvl w:val="1"/>
          <w:numId w:val="1"/>
        </w:numPr>
        <w:tabs>
          <w:tab w:pos="729" w:val="left" w:leader="none"/>
        </w:tabs>
        <w:spacing w:line="240" w:lineRule="auto" w:before="118" w:after="0"/>
        <w:ind w:left="729" w:right="0" w:hanging="326"/>
        <w:jc w:val="both"/>
        <w:rPr>
          <w:i/>
        </w:rPr>
      </w:pPr>
      <w:r>
        <w:rPr>
          <w:i/>
          <w:w w:val="105"/>
        </w:rPr>
        <w:t>Ingresos y</w:t>
      </w:r>
      <w:r>
        <w:rPr>
          <w:i/>
          <w:spacing w:val="4"/>
          <w:w w:val="105"/>
        </w:rPr>
        <w:t> </w:t>
      </w:r>
      <w:r>
        <w:rPr>
          <w:i/>
          <w:w w:val="105"/>
        </w:rPr>
        <w:t>gastos.</w:t>
      </w:r>
    </w:p>
    <w:p>
      <w:pPr>
        <w:pStyle w:val="BodyText"/>
        <w:spacing w:before="4"/>
        <w:rPr>
          <w:b/>
          <w:i/>
          <w:sz w:val="14"/>
        </w:rPr>
      </w:pPr>
    </w:p>
    <w:p>
      <w:pPr>
        <w:pStyle w:val="BodyText"/>
        <w:spacing w:line="302" w:lineRule="auto"/>
        <w:ind w:left="403" w:right="412"/>
        <w:jc w:val="both"/>
      </w:pPr>
      <w:r>
        <w:rPr>
          <w:w w:val="105"/>
        </w:rPr>
        <w:t>La Sociedad presta el servicio público de radiodifusión sonora en el municipio de Los Realejos, y reciben ingresos anuales correspondientes a las subvenciones concedidas por el AYUNTAMIENTO DE LOS REALEJOS.</w:t>
      </w:r>
    </w:p>
    <w:p>
      <w:pPr>
        <w:pStyle w:val="Heading4"/>
        <w:spacing w:before="116"/>
        <w:ind w:firstLine="0"/>
        <w:jc w:val="both"/>
        <w:rPr>
          <w:i/>
        </w:rPr>
      </w:pPr>
      <w:r>
        <w:rPr>
          <w:i/>
          <w:w w:val="105"/>
        </w:rPr>
        <w:t>Reconocimiento de ingresos por ventas y prestación de servicios</w:t>
      </w:r>
    </w:p>
    <w:p>
      <w:pPr>
        <w:pStyle w:val="BodyText"/>
        <w:spacing w:before="10"/>
        <w:rPr>
          <w:b/>
          <w:i/>
          <w:sz w:val="13"/>
        </w:rPr>
      </w:pPr>
    </w:p>
    <w:p>
      <w:pPr>
        <w:pStyle w:val="BodyText"/>
        <w:spacing w:line="304" w:lineRule="auto"/>
        <w:ind w:left="403" w:right="407"/>
        <w:jc w:val="both"/>
      </w:pPr>
      <w:r>
        <w:rPr>
          <w:w w:val="105"/>
        </w:rPr>
        <w:t>La Sociedad reconoce </w:t>
      </w:r>
      <w:r>
        <w:rPr>
          <w:spacing w:val="2"/>
          <w:w w:val="105"/>
        </w:rPr>
        <w:t>los </w:t>
      </w:r>
      <w:r>
        <w:rPr>
          <w:w w:val="105"/>
        </w:rPr>
        <w:t>ingresos por el desarrollo ordinario </w:t>
      </w:r>
      <w:r>
        <w:rPr>
          <w:spacing w:val="2"/>
          <w:w w:val="105"/>
        </w:rPr>
        <w:t>de </w:t>
      </w:r>
      <w:r>
        <w:rPr>
          <w:w w:val="105"/>
        </w:rPr>
        <w:t>su actividad en el momento (o a medida que) se produce la transferencia al cliente del control de los bienes o servicios comprometidos. </w:t>
      </w:r>
      <w:r>
        <w:rPr>
          <w:spacing w:val="2"/>
          <w:w w:val="105"/>
        </w:rPr>
        <w:t>En </w:t>
      </w:r>
      <w:r>
        <w:rPr>
          <w:w w:val="105"/>
        </w:rPr>
        <w:t>ese momento,  la Sociedad valora el ingreso por el importe que refleje la contraprestación a la que espere tener derecho a cambio </w:t>
      </w:r>
      <w:r>
        <w:rPr>
          <w:spacing w:val="2"/>
          <w:w w:val="105"/>
        </w:rPr>
        <w:t>de </w:t>
      </w:r>
      <w:r>
        <w:rPr>
          <w:w w:val="105"/>
        </w:rPr>
        <w:t>dichos bienes o</w:t>
      </w:r>
      <w:r>
        <w:rPr>
          <w:spacing w:val="6"/>
          <w:w w:val="105"/>
        </w:rPr>
        <w:t> </w:t>
      </w:r>
      <w:r>
        <w:rPr>
          <w:w w:val="105"/>
        </w:rPr>
        <w:t>servicios.</w:t>
      </w:r>
    </w:p>
    <w:p>
      <w:pPr>
        <w:pStyle w:val="BodyText"/>
        <w:spacing w:line="302" w:lineRule="auto" w:before="110"/>
        <w:ind w:left="403" w:right="408"/>
        <w:jc w:val="both"/>
      </w:pPr>
      <w:r>
        <w:rPr>
          <w:w w:val="105"/>
        </w:rPr>
        <w:t>El control </w:t>
      </w:r>
      <w:r>
        <w:rPr>
          <w:spacing w:val="2"/>
          <w:w w:val="105"/>
        </w:rPr>
        <w:t>de </w:t>
      </w:r>
      <w:r>
        <w:rPr>
          <w:w w:val="105"/>
        </w:rPr>
        <w:t>un bien o servicio </w:t>
      </w:r>
      <w:r>
        <w:rPr>
          <w:spacing w:val="2"/>
          <w:w w:val="105"/>
        </w:rPr>
        <w:t>(un </w:t>
      </w:r>
      <w:r>
        <w:rPr>
          <w:w w:val="105"/>
        </w:rPr>
        <w:t>activo) hace referencia a la capacidad para decidir plenamente sobre el uso </w:t>
      </w:r>
      <w:r>
        <w:rPr>
          <w:spacing w:val="2"/>
          <w:w w:val="105"/>
        </w:rPr>
        <w:t>de </w:t>
      </w:r>
      <w:r>
        <w:rPr>
          <w:w w:val="105"/>
        </w:rPr>
        <w:t>ese elemento patrimonial y obtener sustancialmente todos sus beneficios restantes. El control incluye la capacidad de impedir que otras entidades decidan sobre el uso del activo y obtengan sus</w:t>
      </w:r>
      <w:r>
        <w:rPr>
          <w:spacing w:val="17"/>
          <w:w w:val="105"/>
        </w:rPr>
        <w:t> </w:t>
      </w:r>
      <w:r>
        <w:rPr>
          <w:w w:val="105"/>
        </w:rPr>
        <w:t>beneficios.</w:t>
      </w:r>
    </w:p>
    <w:p>
      <w:pPr>
        <w:pStyle w:val="BodyText"/>
        <w:spacing w:line="304" w:lineRule="auto" w:before="117"/>
        <w:ind w:left="403" w:right="414"/>
        <w:jc w:val="both"/>
      </w:pPr>
      <w:r>
        <w:rPr>
          <w:w w:val="105"/>
        </w:rPr>
        <w:t>Para aplicar este criterio fundamental de registro contable de ingresos, la Sociedad sigue un proceso completo que consta de las siguientes etapas sucesivas:</w:t>
      </w:r>
    </w:p>
    <w:p>
      <w:pPr>
        <w:pStyle w:val="ListParagraph"/>
        <w:numPr>
          <w:ilvl w:val="0"/>
          <w:numId w:val="5"/>
        </w:numPr>
        <w:tabs>
          <w:tab w:pos="830" w:val="left" w:leader="none"/>
        </w:tabs>
        <w:spacing w:line="304" w:lineRule="auto" w:before="111" w:after="0"/>
        <w:ind w:left="829" w:right="413" w:hanging="285"/>
        <w:jc w:val="both"/>
        <w:rPr>
          <w:sz w:val="17"/>
        </w:rPr>
      </w:pPr>
      <w:r>
        <w:rPr>
          <w:w w:val="105"/>
          <w:sz w:val="17"/>
        </w:rPr>
        <w:t>Identificar el contrato (o contratos) </w:t>
      </w:r>
      <w:r>
        <w:rPr>
          <w:spacing w:val="2"/>
          <w:w w:val="105"/>
          <w:sz w:val="17"/>
        </w:rPr>
        <w:t>con </w:t>
      </w:r>
      <w:r>
        <w:rPr>
          <w:w w:val="105"/>
          <w:sz w:val="17"/>
        </w:rPr>
        <w:t>el cliente, entendido como </w:t>
      </w:r>
      <w:r>
        <w:rPr>
          <w:spacing w:val="2"/>
          <w:w w:val="105"/>
          <w:sz w:val="17"/>
        </w:rPr>
        <w:t>un </w:t>
      </w:r>
      <w:r>
        <w:rPr>
          <w:w w:val="105"/>
          <w:sz w:val="17"/>
        </w:rPr>
        <w:t>acuerdo entre dos o más partes que crea derechos y obligaciones exigibles para las</w:t>
      </w:r>
      <w:r>
        <w:rPr>
          <w:spacing w:val="20"/>
          <w:w w:val="105"/>
          <w:sz w:val="17"/>
        </w:rPr>
        <w:t> </w:t>
      </w:r>
      <w:r>
        <w:rPr>
          <w:w w:val="105"/>
          <w:sz w:val="17"/>
        </w:rPr>
        <w:t>mismas.</w:t>
      </w:r>
    </w:p>
    <w:p>
      <w:pPr>
        <w:pStyle w:val="ListParagraph"/>
        <w:numPr>
          <w:ilvl w:val="0"/>
          <w:numId w:val="5"/>
        </w:numPr>
        <w:tabs>
          <w:tab w:pos="830" w:val="left" w:leader="none"/>
        </w:tabs>
        <w:spacing w:line="302" w:lineRule="auto" w:before="112" w:after="0"/>
        <w:ind w:left="829" w:right="412" w:hanging="285"/>
        <w:jc w:val="both"/>
        <w:rPr>
          <w:sz w:val="17"/>
        </w:rPr>
      </w:pPr>
      <w:r>
        <w:rPr>
          <w:w w:val="105"/>
          <w:sz w:val="17"/>
        </w:rPr>
        <w:t>Identificar la obligación u obligaciones a cumplir en el contrato, representativas de los compromisos de transferir bienes o prestar servicios a un</w:t>
      </w:r>
      <w:r>
        <w:rPr>
          <w:spacing w:val="14"/>
          <w:w w:val="105"/>
          <w:sz w:val="17"/>
        </w:rPr>
        <w:t> </w:t>
      </w:r>
      <w:r>
        <w:rPr>
          <w:w w:val="105"/>
          <w:sz w:val="17"/>
        </w:rPr>
        <w:t>cliente.</w:t>
      </w:r>
    </w:p>
    <w:p>
      <w:pPr>
        <w:pStyle w:val="ListParagraph"/>
        <w:numPr>
          <w:ilvl w:val="0"/>
          <w:numId w:val="5"/>
        </w:numPr>
        <w:tabs>
          <w:tab w:pos="830" w:val="left" w:leader="none"/>
        </w:tabs>
        <w:spacing w:line="304" w:lineRule="auto" w:before="115" w:after="0"/>
        <w:ind w:left="829" w:right="411" w:hanging="285"/>
        <w:jc w:val="both"/>
        <w:rPr>
          <w:sz w:val="17"/>
        </w:rPr>
      </w:pPr>
      <w:r>
        <w:rPr>
          <w:w w:val="105"/>
          <w:sz w:val="17"/>
        </w:rPr>
        <w:t>Determinar el precio </w:t>
      </w:r>
      <w:r>
        <w:rPr>
          <w:spacing w:val="2"/>
          <w:w w:val="105"/>
          <w:sz w:val="17"/>
        </w:rPr>
        <w:t>de </w:t>
      </w:r>
      <w:r>
        <w:rPr>
          <w:w w:val="105"/>
          <w:sz w:val="17"/>
        </w:rPr>
        <w:t>la transacción, o contraprestación del contrato a la que la empresa espera tener derecho a cambio </w:t>
      </w:r>
      <w:r>
        <w:rPr>
          <w:spacing w:val="2"/>
          <w:w w:val="105"/>
          <w:sz w:val="17"/>
        </w:rPr>
        <w:t>de </w:t>
      </w:r>
      <w:r>
        <w:rPr>
          <w:w w:val="105"/>
          <w:sz w:val="17"/>
        </w:rPr>
        <w:t>la transferencia </w:t>
      </w:r>
      <w:r>
        <w:rPr>
          <w:spacing w:val="2"/>
          <w:w w:val="105"/>
          <w:sz w:val="17"/>
        </w:rPr>
        <w:t>de </w:t>
      </w:r>
      <w:r>
        <w:rPr>
          <w:w w:val="105"/>
          <w:sz w:val="17"/>
        </w:rPr>
        <w:t>bienes o </w:t>
      </w:r>
      <w:r>
        <w:rPr>
          <w:spacing w:val="2"/>
          <w:w w:val="105"/>
          <w:sz w:val="17"/>
        </w:rPr>
        <w:t>de </w:t>
      </w:r>
      <w:r>
        <w:rPr>
          <w:w w:val="105"/>
          <w:sz w:val="17"/>
        </w:rPr>
        <w:t>la prestación </w:t>
      </w:r>
      <w:r>
        <w:rPr>
          <w:spacing w:val="2"/>
          <w:w w:val="105"/>
          <w:sz w:val="17"/>
        </w:rPr>
        <w:t>de </w:t>
      </w:r>
      <w:r>
        <w:rPr>
          <w:w w:val="105"/>
          <w:sz w:val="17"/>
        </w:rPr>
        <w:t>servicios comprometida con el</w:t>
      </w:r>
      <w:r>
        <w:rPr>
          <w:spacing w:val="-17"/>
          <w:w w:val="105"/>
          <w:sz w:val="17"/>
        </w:rPr>
        <w:t> </w:t>
      </w:r>
      <w:r>
        <w:rPr>
          <w:w w:val="105"/>
          <w:sz w:val="17"/>
        </w:rPr>
        <w:t>cliente.</w:t>
      </w:r>
    </w:p>
    <w:p>
      <w:pPr>
        <w:pStyle w:val="ListParagraph"/>
        <w:numPr>
          <w:ilvl w:val="0"/>
          <w:numId w:val="5"/>
        </w:numPr>
        <w:tabs>
          <w:tab w:pos="830" w:val="left" w:leader="none"/>
        </w:tabs>
        <w:spacing w:line="300" w:lineRule="auto" w:before="119" w:after="0"/>
        <w:ind w:left="829" w:right="412" w:hanging="285"/>
        <w:jc w:val="both"/>
        <w:rPr>
          <w:sz w:val="17"/>
        </w:rPr>
      </w:pPr>
      <w:r>
        <w:rPr>
          <w:w w:val="105"/>
          <w:sz w:val="17"/>
        </w:rPr>
        <w:t>Asignar el precio </w:t>
      </w:r>
      <w:r>
        <w:rPr>
          <w:spacing w:val="2"/>
          <w:w w:val="105"/>
          <w:sz w:val="17"/>
        </w:rPr>
        <w:t>de </w:t>
      </w:r>
      <w:r>
        <w:rPr>
          <w:w w:val="105"/>
          <w:sz w:val="17"/>
        </w:rPr>
        <w:t>la transacción a las obligaciones a cumplir, que deberá realizarse en función </w:t>
      </w:r>
      <w:r>
        <w:rPr>
          <w:spacing w:val="2"/>
          <w:w w:val="105"/>
          <w:sz w:val="17"/>
        </w:rPr>
        <w:t>de </w:t>
      </w:r>
      <w:r>
        <w:rPr>
          <w:w w:val="105"/>
          <w:sz w:val="17"/>
        </w:rPr>
        <w:t>los precios de venta individuales de cada bien o servicio distinto que se hayan comprometido en el contrato, o bien, en su caso, siguiendo una estimación del precio de venta cuando el mismo no sea observable de modo independiente.</w:t>
      </w:r>
    </w:p>
    <w:p>
      <w:pPr>
        <w:pStyle w:val="ListParagraph"/>
        <w:numPr>
          <w:ilvl w:val="0"/>
          <w:numId w:val="5"/>
        </w:numPr>
        <w:tabs>
          <w:tab w:pos="830" w:val="left" w:leader="none"/>
        </w:tabs>
        <w:spacing w:line="300" w:lineRule="auto" w:before="119" w:after="0"/>
        <w:ind w:left="829" w:right="406" w:hanging="285"/>
        <w:jc w:val="both"/>
        <w:rPr>
          <w:sz w:val="17"/>
        </w:rPr>
      </w:pPr>
      <w:r>
        <w:rPr>
          <w:w w:val="105"/>
          <w:sz w:val="17"/>
        </w:rPr>
        <w:t>Reconocer el ingreso por actividades ordinarias cuando (a medida que) la empresa cumple una obligación comprometida mediante la transferencia </w:t>
      </w:r>
      <w:r>
        <w:rPr>
          <w:spacing w:val="2"/>
          <w:w w:val="105"/>
          <w:sz w:val="17"/>
        </w:rPr>
        <w:t>de </w:t>
      </w:r>
      <w:r>
        <w:rPr>
          <w:w w:val="105"/>
          <w:sz w:val="17"/>
        </w:rPr>
        <w:t>un bien o la prestación </w:t>
      </w:r>
      <w:r>
        <w:rPr>
          <w:spacing w:val="2"/>
          <w:w w:val="105"/>
          <w:sz w:val="17"/>
        </w:rPr>
        <w:t>de </w:t>
      </w:r>
      <w:r>
        <w:rPr>
          <w:w w:val="105"/>
          <w:sz w:val="17"/>
        </w:rPr>
        <w:t>un servicio; cumplimiento que tiene lugar cuando el cliente obtiene el control de ese bien o servicio, </w:t>
      </w:r>
      <w:r>
        <w:rPr>
          <w:spacing w:val="2"/>
          <w:w w:val="105"/>
          <w:sz w:val="17"/>
        </w:rPr>
        <w:t>de </w:t>
      </w:r>
      <w:r>
        <w:rPr>
          <w:w w:val="105"/>
          <w:sz w:val="17"/>
        </w:rPr>
        <w:t>forma que el importe del ingreso de actividades ordinarias reconocido será el importe asignado a la obligación contractual</w:t>
      </w:r>
      <w:r>
        <w:rPr>
          <w:spacing w:val="14"/>
          <w:w w:val="105"/>
          <w:sz w:val="17"/>
        </w:rPr>
        <w:t> </w:t>
      </w:r>
      <w:r>
        <w:rPr>
          <w:w w:val="105"/>
          <w:sz w:val="17"/>
        </w:rPr>
        <w:t>satisfecha.</w:t>
      </w:r>
    </w:p>
    <w:p>
      <w:pPr>
        <w:pStyle w:val="BodyText"/>
        <w:spacing w:line="302" w:lineRule="auto" w:before="126"/>
        <w:ind w:left="403" w:right="419"/>
        <w:jc w:val="both"/>
      </w:pPr>
      <w:r>
        <w:rPr>
          <w:w w:val="105"/>
        </w:rPr>
        <w:t>Para cada obligación a cumplir (entrega de bienes o prestación </w:t>
      </w:r>
      <w:r>
        <w:rPr>
          <w:spacing w:val="2"/>
          <w:w w:val="105"/>
        </w:rPr>
        <w:t>de </w:t>
      </w:r>
      <w:r>
        <w:rPr>
          <w:w w:val="105"/>
        </w:rPr>
        <w:t>servicios) identificadas, la Sociedad determina al comienzo del contrato si el compromiso asumido se cumple a lo largo del tiempo o en un momento</w:t>
      </w:r>
      <w:r>
        <w:rPr>
          <w:spacing w:val="16"/>
          <w:w w:val="105"/>
        </w:rPr>
        <w:t> </w:t>
      </w:r>
      <w:r>
        <w:rPr>
          <w:w w:val="105"/>
        </w:rPr>
        <w:t>determinado.</w:t>
      </w:r>
    </w:p>
    <w:p>
      <w:pPr>
        <w:pStyle w:val="BodyText"/>
        <w:spacing w:before="116"/>
        <w:ind w:left="403"/>
        <w:jc w:val="both"/>
      </w:pPr>
      <w:r>
        <w:rPr>
          <w:w w:val="105"/>
        </w:rPr>
        <w:t>Cumplimiento de la obligación a lo largo del tiempo:</w:t>
      </w:r>
    </w:p>
    <w:p>
      <w:pPr>
        <w:pStyle w:val="BodyText"/>
        <w:spacing w:before="10"/>
        <w:rPr>
          <w:sz w:val="13"/>
        </w:rPr>
      </w:pPr>
    </w:p>
    <w:p>
      <w:pPr>
        <w:pStyle w:val="BodyText"/>
        <w:spacing w:line="302" w:lineRule="auto"/>
        <w:ind w:left="403" w:right="411"/>
        <w:jc w:val="both"/>
      </w:pPr>
      <w:r>
        <w:rPr>
          <w:w w:val="105"/>
        </w:rPr>
        <w:t>Se entiende que la Sociedad transfiere el control de un servicio a lo largo del tiempo dado que se cumple el/los siguientes criterios:</w:t>
      </w:r>
    </w:p>
    <w:p>
      <w:pPr>
        <w:pStyle w:val="ListParagraph"/>
        <w:numPr>
          <w:ilvl w:val="0"/>
          <w:numId w:val="6"/>
        </w:numPr>
        <w:tabs>
          <w:tab w:pos="830" w:val="left" w:leader="none"/>
        </w:tabs>
        <w:spacing w:line="302" w:lineRule="auto" w:before="123" w:after="0"/>
        <w:ind w:left="829" w:right="416" w:hanging="285"/>
        <w:jc w:val="both"/>
        <w:rPr>
          <w:sz w:val="17"/>
        </w:rPr>
      </w:pPr>
      <w:r>
        <w:rPr>
          <w:w w:val="105"/>
          <w:sz w:val="17"/>
        </w:rPr>
        <w:t>El cliente recibe y consume </w:t>
      </w:r>
      <w:r>
        <w:rPr>
          <w:spacing w:val="2"/>
          <w:w w:val="105"/>
          <w:sz w:val="17"/>
        </w:rPr>
        <w:t>de </w:t>
      </w:r>
      <w:r>
        <w:rPr>
          <w:w w:val="105"/>
          <w:sz w:val="17"/>
        </w:rPr>
        <w:t>forma simultánea </w:t>
      </w:r>
      <w:r>
        <w:rPr>
          <w:spacing w:val="2"/>
          <w:w w:val="105"/>
          <w:sz w:val="17"/>
        </w:rPr>
        <w:t>los </w:t>
      </w:r>
      <w:r>
        <w:rPr>
          <w:w w:val="105"/>
          <w:sz w:val="17"/>
        </w:rPr>
        <w:t>beneficios proporcionados por la actividad </w:t>
      </w:r>
      <w:r>
        <w:rPr>
          <w:spacing w:val="2"/>
          <w:w w:val="105"/>
          <w:sz w:val="17"/>
        </w:rPr>
        <w:t>de </w:t>
      </w:r>
      <w:r>
        <w:rPr>
          <w:w w:val="105"/>
          <w:sz w:val="17"/>
        </w:rPr>
        <w:t>la Sociedad a medida que la entidad la</w:t>
      </w:r>
      <w:r>
        <w:rPr>
          <w:spacing w:val="20"/>
          <w:w w:val="105"/>
          <w:sz w:val="17"/>
        </w:rPr>
        <w:t> </w:t>
      </w:r>
      <w:r>
        <w:rPr>
          <w:w w:val="105"/>
          <w:sz w:val="17"/>
        </w:rPr>
        <w:t>desarrolla.</w:t>
      </w:r>
    </w:p>
    <w:p>
      <w:pPr>
        <w:pStyle w:val="ListParagraph"/>
        <w:numPr>
          <w:ilvl w:val="0"/>
          <w:numId w:val="6"/>
        </w:numPr>
        <w:tabs>
          <w:tab w:pos="830" w:val="left" w:leader="none"/>
        </w:tabs>
        <w:spacing w:line="302" w:lineRule="auto" w:before="116" w:after="0"/>
        <w:ind w:left="829" w:right="412" w:hanging="285"/>
        <w:jc w:val="both"/>
        <w:rPr>
          <w:sz w:val="17"/>
        </w:rPr>
      </w:pPr>
      <w:r>
        <w:rPr>
          <w:w w:val="105"/>
          <w:sz w:val="17"/>
        </w:rPr>
        <w:t>La Sociedad produce o mejora </w:t>
      </w:r>
      <w:r>
        <w:rPr>
          <w:spacing w:val="2"/>
          <w:w w:val="105"/>
          <w:sz w:val="17"/>
        </w:rPr>
        <w:t>un </w:t>
      </w:r>
      <w:r>
        <w:rPr>
          <w:w w:val="105"/>
          <w:sz w:val="17"/>
        </w:rPr>
        <w:t>activo (tangible o intangible) que el cliente controla a medida que se desarrolla la</w:t>
      </w:r>
      <w:r>
        <w:rPr>
          <w:spacing w:val="4"/>
          <w:w w:val="105"/>
          <w:sz w:val="17"/>
        </w:rPr>
        <w:t> </w:t>
      </w:r>
      <w:r>
        <w:rPr>
          <w:w w:val="105"/>
          <w:sz w:val="17"/>
        </w:rPr>
        <w:t>actividad.</w:t>
      </w:r>
    </w:p>
    <w:p>
      <w:pPr>
        <w:pStyle w:val="ListParagraph"/>
        <w:numPr>
          <w:ilvl w:val="0"/>
          <w:numId w:val="6"/>
        </w:numPr>
        <w:tabs>
          <w:tab w:pos="830" w:val="left" w:leader="none"/>
        </w:tabs>
        <w:spacing w:line="304" w:lineRule="auto" w:before="115" w:after="0"/>
        <w:ind w:left="829" w:right="408" w:hanging="285"/>
        <w:jc w:val="both"/>
        <w:rPr>
          <w:sz w:val="17"/>
        </w:rPr>
      </w:pPr>
      <w:r>
        <w:rPr>
          <w:w w:val="105"/>
          <w:sz w:val="17"/>
        </w:rPr>
        <w:t>La Sociedad elabora </w:t>
      </w:r>
      <w:r>
        <w:rPr>
          <w:spacing w:val="2"/>
          <w:w w:val="105"/>
          <w:sz w:val="17"/>
        </w:rPr>
        <w:t>un </w:t>
      </w:r>
      <w:r>
        <w:rPr>
          <w:w w:val="105"/>
          <w:sz w:val="17"/>
        </w:rPr>
        <w:t>activo específico para el cliente (con carácter general, un servicio o una instalación técnica compleja o </w:t>
      </w:r>
      <w:r>
        <w:rPr>
          <w:spacing w:val="2"/>
          <w:w w:val="105"/>
          <w:sz w:val="17"/>
        </w:rPr>
        <w:t>un </w:t>
      </w:r>
      <w:r>
        <w:rPr>
          <w:w w:val="105"/>
          <w:sz w:val="17"/>
        </w:rPr>
        <w:t>bien particular con especificaciones singulares) sin un uso alternativo y la empresa tiene un derecho exigible al cobro por la actividad que </w:t>
      </w:r>
      <w:r>
        <w:rPr>
          <w:spacing w:val="4"/>
          <w:w w:val="105"/>
          <w:sz w:val="17"/>
        </w:rPr>
        <w:t>se </w:t>
      </w:r>
      <w:r>
        <w:rPr>
          <w:w w:val="105"/>
          <w:sz w:val="17"/>
        </w:rPr>
        <w:t>haya completado hasta la</w:t>
      </w:r>
      <w:r>
        <w:rPr>
          <w:spacing w:val="10"/>
          <w:w w:val="105"/>
          <w:sz w:val="17"/>
        </w:rPr>
        <w:t> </w:t>
      </w:r>
      <w:r>
        <w:rPr>
          <w:w w:val="105"/>
          <w:sz w:val="17"/>
        </w:rPr>
        <w:t>fecha.</w:t>
      </w:r>
    </w:p>
    <w:p>
      <w:pPr>
        <w:spacing w:after="0" w:line="304" w:lineRule="auto"/>
        <w:jc w:val="both"/>
        <w:rPr>
          <w:sz w:val="17"/>
        </w:rPr>
        <w:sectPr>
          <w:pgSz w:w="11920" w:h="16850"/>
          <w:pgMar w:header="735" w:footer="891" w:top="1600" w:bottom="1080" w:left="1300" w:right="1300"/>
        </w:sectPr>
      </w:pPr>
    </w:p>
    <w:p>
      <w:pPr>
        <w:pStyle w:val="Heading4"/>
        <w:spacing w:before="154"/>
        <w:ind w:firstLine="0"/>
        <w:rPr>
          <w:i/>
        </w:rPr>
      </w:pPr>
      <w:r>
        <w:rPr>
          <w:i/>
          <w:w w:val="105"/>
        </w:rPr>
        <w:t>Valoración</w:t>
      </w:r>
    </w:p>
    <w:p>
      <w:pPr>
        <w:pStyle w:val="BodyText"/>
        <w:spacing w:before="9"/>
        <w:rPr>
          <w:b/>
          <w:i/>
          <w:sz w:val="13"/>
        </w:rPr>
      </w:pPr>
    </w:p>
    <w:p>
      <w:pPr>
        <w:pStyle w:val="BodyText"/>
        <w:spacing w:line="302" w:lineRule="auto" w:before="1"/>
        <w:ind w:left="403" w:right="408"/>
        <w:jc w:val="both"/>
      </w:pPr>
      <w:r>
        <w:rPr>
          <w:w w:val="105"/>
        </w:rPr>
        <w:t>Los ingresos ordinarios procedentes de la venta de bienes y de la prestación de servicios se valoran por el importe monetario o, en su caso, por el valor razonable de la contrapartida, recibida o que se espere recibir, derivada de la misma, que, salvo evidencia en contrario, es el precio acordado para los activos a trasferir al cliente, deducido: el importe de cualquier descuento, rebaja en el precio u otras partidas similares que la empresa pueda conceder, así como los intereses incorporados al nominal de los créditos.</w:t>
      </w:r>
    </w:p>
    <w:p>
      <w:pPr>
        <w:pStyle w:val="BodyText"/>
        <w:spacing w:line="304" w:lineRule="auto" w:before="111"/>
        <w:ind w:left="403" w:right="410"/>
        <w:jc w:val="both"/>
      </w:pPr>
      <w:r>
        <w:rPr>
          <w:w w:val="105"/>
        </w:rPr>
        <w:t>No obstante, se incluyen los intereses incorporados a los créditos comerciales con vencimiento no superior a un año que no tengan un tipo de interés contractual, cuando el efecto de no actualizar los flujos de efectivo no sea significativo.</w:t>
      </w:r>
    </w:p>
    <w:p>
      <w:pPr>
        <w:pStyle w:val="BodyText"/>
        <w:spacing w:line="302" w:lineRule="auto" w:before="111"/>
        <w:ind w:left="403" w:right="413"/>
        <w:jc w:val="both"/>
      </w:pPr>
      <w:r>
        <w:rPr>
          <w:w w:val="105"/>
        </w:rPr>
        <w:t>No forman parte de los ingresos los impuestos que gravan las operaciones de entrega de bienes y prestación de servicios que la empresa debe repercutir a terceros como el impuesto sobre el valor añadido y los impuestos especiales, así como las cantidades recibidas por cuenta de terceros.</w:t>
      </w:r>
    </w:p>
    <w:p>
      <w:pPr>
        <w:pStyle w:val="BodyText"/>
        <w:spacing w:line="300" w:lineRule="auto" w:before="117"/>
        <w:ind w:left="403" w:right="409"/>
        <w:jc w:val="both"/>
      </w:pPr>
      <w:r>
        <w:rPr>
          <w:w w:val="105"/>
        </w:rPr>
        <w:t>En los casos que existan contraprestaciones variables, la Sociedad toma en cuenta en la valoración del ingreso la mejor estimación de la contraprestación variable si es altamente probable que no se produzca una reversión significativa del importe del ingreso reconocido cuando posteriormente se resuelva la incertidumbre asociada a la citada contraprestación.</w:t>
      </w:r>
    </w:p>
    <w:p>
      <w:pPr>
        <w:pStyle w:val="BodyText"/>
        <w:spacing w:line="302" w:lineRule="auto" w:before="119"/>
        <w:ind w:left="403" w:right="408"/>
        <w:jc w:val="both"/>
      </w:pPr>
      <w:r>
        <w:rPr>
          <w:w w:val="105"/>
        </w:rPr>
        <w:t>Los créditos por operaciones comerciales se valoran </w:t>
      </w:r>
      <w:r>
        <w:rPr>
          <w:spacing w:val="2"/>
          <w:w w:val="105"/>
        </w:rPr>
        <w:t>de </w:t>
      </w:r>
      <w:r>
        <w:rPr>
          <w:w w:val="105"/>
        </w:rPr>
        <w:t>acuerdo con lo dispuesto en la norma relativa</w:t>
      </w:r>
      <w:r>
        <w:rPr>
          <w:spacing w:val="40"/>
          <w:w w:val="105"/>
        </w:rPr>
        <w:t> </w:t>
      </w:r>
      <w:r>
        <w:rPr>
          <w:w w:val="105"/>
        </w:rPr>
        <w:t>a instrumentos financieros. Cuando existan dudas relativas al cobro del derecho de crédito previamente reconocido como ingresos por venta o prestación </w:t>
      </w:r>
      <w:r>
        <w:rPr>
          <w:spacing w:val="2"/>
          <w:w w:val="105"/>
        </w:rPr>
        <w:t>de </w:t>
      </w:r>
      <w:r>
        <w:rPr>
          <w:w w:val="105"/>
        </w:rPr>
        <w:t>servicios, la pérdida por deterioro </w:t>
      </w:r>
      <w:r>
        <w:rPr>
          <w:spacing w:val="4"/>
          <w:w w:val="105"/>
        </w:rPr>
        <w:t>se </w:t>
      </w:r>
      <w:r>
        <w:rPr>
          <w:w w:val="105"/>
        </w:rPr>
        <w:t>registrará como </w:t>
      </w:r>
      <w:r>
        <w:rPr>
          <w:spacing w:val="2"/>
          <w:w w:val="105"/>
        </w:rPr>
        <w:t>un </w:t>
      </w:r>
      <w:r>
        <w:rPr>
          <w:w w:val="105"/>
        </w:rPr>
        <w:t>gasto por corrección de valor por deterioro y </w:t>
      </w:r>
      <w:r>
        <w:rPr>
          <w:spacing w:val="2"/>
          <w:w w:val="105"/>
        </w:rPr>
        <w:t>no </w:t>
      </w:r>
      <w:r>
        <w:rPr>
          <w:w w:val="105"/>
        </w:rPr>
        <w:t>como </w:t>
      </w:r>
      <w:r>
        <w:rPr>
          <w:spacing w:val="2"/>
          <w:w w:val="105"/>
        </w:rPr>
        <w:t>un </w:t>
      </w:r>
      <w:r>
        <w:rPr>
          <w:w w:val="105"/>
        </w:rPr>
        <w:t>menor</w:t>
      </w:r>
      <w:r>
        <w:rPr>
          <w:spacing w:val="2"/>
          <w:w w:val="105"/>
        </w:rPr>
        <w:t> </w:t>
      </w:r>
      <w:r>
        <w:rPr>
          <w:w w:val="105"/>
        </w:rPr>
        <w:t>ingreso.</w:t>
      </w:r>
    </w:p>
    <w:p>
      <w:pPr>
        <w:pStyle w:val="Heading4"/>
        <w:numPr>
          <w:ilvl w:val="1"/>
          <w:numId w:val="1"/>
        </w:numPr>
        <w:tabs>
          <w:tab w:pos="822" w:val="left" w:leader="none"/>
        </w:tabs>
        <w:spacing w:line="240" w:lineRule="auto" w:before="118" w:after="0"/>
        <w:ind w:left="821" w:right="0" w:hanging="419"/>
        <w:jc w:val="both"/>
        <w:rPr>
          <w:i/>
        </w:rPr>
      </w:pPr>
      <w:r>
        <w:rPr>
          <w:i/>
          <w:w w:val="105"/>
        </w:rPr>
        <w:t>Provisiones y</w:t>
      </w:r>
      <w:r>
        <w:rPr>
          <w:i/>
          <w:spacing w:val="4"/>
          <w:w w:val="105"/>
        </w:rPr>
        <w:t> </w:t>
      </w:r>
      <w:r>
        <w:rPr>
          <w:i/>
          <w:w w:val="105"/>
        </w:rPr>
        <w:t>contingencias.</w:t>
      </w:r>
    </w:p>
    <w:p>
      <w:pPr>
        <w:pStyle w:val="BodyText"/>
        <w:spacing w:before="4"/>
        <w:rPr>
          <w:b/>
          <w:i/>
          <w:sz w:val="14"/>
        </w:rPr>
      </w:pPr>
    </w:p>
    <w:p>
      <w:pPr>
        <w:pStyle w:val="BodyText"/>
        <w:spacing w:line="304" w:lineRule="auto" w:before="1"/>
        <w:ind w:left="403" w:right="401"/>
        <w:jc w:val="both"/>
      </w:pPr>
      <w:r>
        <w:rPr>
          <w:w w:val="105"/>
        </w:rPr>
        <w:t>La Sociedad ha registrado provisiones en sus Cuentas Anuales  Abreviadas como consecuencia </w:t>
      </w:r>
      <w:r>
        <w:rPr>
          <w:spacing w:val="2"/>
          <w:w w:val="105"/>
        </w:rPr>
        <w:t>de </w:t>
      </w:r>
      <w:r>
        <w:rPr>
          <w:w w:val="105"/>
        </w:rPr>
        <w:t>sucesos pasados</w:t>
      </w:r>
      <w:r>
        <w:rPr>
          <w:spacing w:val="40"/>
          <w:w w:val="105"/>
        </w:rPr>
        <w:t> </w:t>
      </w:r>
      <w:r>
        <w:rPr>
          <w:w w:val="105"/>
        </w:rPr>
        <w:t>de las que pueda derivarse perjuicios patrimoniales para la</w:t>
      </w:r>
      <w:r>
        <w:rPr>
          <w:spacing w:val="8"/>
          <w:w w:val="105"/>
        </w:rPr>
        <w:t> </w:t>
      </w:r>
      <w:r>
        <w:rPr>
          <w:w w:val="105"/>
        </w:rPr>
        <w:t>Sociedad.</w:t>
      </w:r>
    </w:p>
    <w:p>
      <w:pPr>
        <w:pStyle w:val="Heading4"/>
        <w:numPr>
          <w:ilvl w:val="1"/>
          <w:numId w:val="1"/>
        </w:numPr>
        <w:tabs>
          <w:tab w:pos="822" w:val="left" w:leader="none"/>
        </w:tabs>
        <w:spacing w:line="240" w:lineRule="auto" w:before="112" w:after="0"/>
        <w:ind w:left="821" w:right="0" w:hanging="419"/>
        <w:jc w:val="both"/>
        <w:rPr>
          <w:i/>
        </w:rPr>
      </w:pPr>
      <w:r>
        <w:rPr>
          <w:i/>
          <w:w w:val="105"/>
        </w:rPr>
        <w:t>Criterios empleados para el registro y valoración </w:t>
      </w:r>
      <w:r>
        <w:rPr>
          <w:i/>
          <w:spacing w:val="2"/>
          <w:w w:val="105"/>
        </w:rPr>
        <w:t>de </w:t>
      </w:r>
      <w:r>
        <w:rPr>
          <w:i/>
          <w:w w:val="105"/>
        </w:rPr>
        <w:t>los gastos </w:t>
      </w:r>
      <w:r>
        <w:rPr>
          <w:i/>
          <w:spacing w:val="2"/>
          <w:w w:val="105"/>
        </w:rPr>
        <w:t>de</w:t>
      </w:r>
      <w:r>
        <w:rPr>
          <w:i/>
          <w:spacing w:val="5"/>
          <w:w w:val="105"/>
        </w:rPr>
        <w:t> </w:t>
      </w:r>
      <w:r>
        <w:rPr>
          <w:i/>
          <w:w w:val="105"/>
        </w:rPr>
        <w:t>personal.</w:t>
      </w:r>
    </w:p>
    <w:p>
      <w:pPr>
        <w:pStyle w:val="BodyText"/>
        <w:spacing w:before="9"/>
        <w:rPr>
          <w:b/>
          <w:i/>
          <w:sz w:val="13"/>
        </w:rPr>
      </w:pPr>
    </w:p>
    <w:p>
      <w:pPr>
        <w:pStyle w:val="BodyText"/>
        <w:spacing w:line="302" w:lineRule="auto"/>
        <w:ind w:left="403" w:right="402"/>
        <w:jc w:val="both"/>
      </w:pPr>
      <w:r>
        <w:rPr>
          <w:w w:val="105"/>
        </w:rPr>
        <w:t>Para el caso de las retribuciones por prestación definida las contribuciones a realizar dan lugar a un pasivo por retribuciones a largo plazo al personal cuando, al cierre del ejercicio, figuren contribuciones devengadas no satisfechas.</w:t>
      </w:r>
    </w:p>
    <w:p>
      <w:pPr>
        <w:pStyle w:val="BodyText"/>
        <w:spacing w:line="302" w:lineRule="auto" w:before="117"/>
        <w:ind w:left="403" w:right="412"/>
        <w:jc w:val="both"/>
      </w:pPr>
      <w:r>
        <w:rPr>
          <w:w w:val="105"/>
        </w:rPr>
        <w:t>El importe que se reconoce como provisión por retribuciones al personal a largo plazo es la diferencia entre el valor actual de las retribuciones comprometidas y el valor razonable de los eventuales activos afectos a los compromisos con los que se liquidarán las obligaciones.</w:t>
      </w:r>
    </w:p>
    <w:p>
      <w:pPr>
        <w:pStyle w:val="BodyText"/>
        <w:spacing w:line="304" w:lineRule="auto" w:before="117"/>
        <w:ind w:left="403" w:right="416"/>
        <w:jc w:val="both"/>
      </w:pPr>
      <w:r>
        <w:rPr>
          <w:w w:val="105"/>
        </w:rPr>
        <w:t>Excepto en el caso de causa justificada, las sociedades vienen obligadas a indemnizar a sus empleados cuando cesan en sus servicios.</w:t>
      </w:r>
    </w:p>
    <w:p>
      <w:pPr>
        <w:pStyle w:val="BodyText"/>
        <w:spacing w:line="304" w:lineRule="auto" w:before="111"/>
        <w:ind w:left="403" w:right="412"/>
        <w:jc w:val="both"/>
      </w:pPr>
      <w:r>
        <w:rPr>
          <w:w w:val="105"/>
        </w:rPr>
        <w:t>Ante la ausencia de cualquier necesidad previsible de terminación anormal del empleo y dado que no reciben indemnizaciones aquellos empleados que se jubilan o cesan voluntariamente en sus servicios, los pagos por indemnizaciones, cuando surgen, se cargan a gastos en el momento en que se toma la decisión de efectuar el despido.</w:t>
      </w:r>
    </w:p>
    <w:p>
      <w:pPr>
        <w:pStyle w:val="Heading4"/>
        <w:numPr>
          <w:ilvl w:val="1"/>
          <w:numId w:val="1"/>
        </w:numPr>
        <w:tabs>
          <w:tab w:pos="822" w:val="left" w:leader="none"/>
        </w:tabs>
        <w:spacing w:line="240" w:lineRule="auto" w:before="110" w:after="0"/>
        <w:ind w:left="821" w:right="0" w:hanging="419"/>
        <w:jc w:val="both"/>
        <w:rPr>
          <w:i/>
        </w:rPr>
      </w:pPr>
      <w:r>
        <w:rPr>
          <w:i/>
          <w:w w:val="105"/>
        </w:rPr>
        <w:t>Subvenciones, donaciones y</w:t>
      </w:r>
      <w:r>
        <w:rPr>
          <w:i/>
          <w:spacing w:val="2"/>
          <w:w w:val="105"/>
        </w:rPr>
        <w:t> </w:t>
      </w:r>
      <w:r>
        <w:rPr>
          <w:i/>
          <w:w w:val="105"/>
        </w:rPr>
        <w:t>legados.</w:t>
      </w:r>
    </w:p>
    <w:p>
      <w:pPr>
        <w:pStyle w:val="BodyText"/>
        <w:spacing w:before="10"/>
        <w:rPr>
          <w:b/>
          <w:i/>
          <w:sz w:val="13"/>
        </w:rPr>
      </w:pPr>
    </w:p>
    <w:p>
      <w:pPr>
        <w:pStyle w:val="BodyText"/>
        <w:spacing w:line="302" w:lineRule="auto"/>
        <w:ind w:left="403" w:right="400"/>
        <w:jc w:val="both"/>
      </w:pPr>
      <w:r>
        <w:rPr>
          <w:w w:val="105"/>
        </w:rPr>
        <w:t>Las subvenciones de capital no reintegrables se valoran por el importe concedido, reconociéndose inicialmente</w:t>
      </w:r>
      <w:r>
        <w:rPr>
          <w:spacing w:val="40"/>
          <w:w w:val="105"/>
        </w:rPr>
        <w:t> </w:t>
      </w:r>
      <w:r>
        <w:rPr>
          <w:w w:val="105"/>
        </w:rPr>
        <w:t>como ingresos directamente imputados al patrimonio neto y se imputan a resultados en proporción a</w:t>
      </w:r>
      <w:r>
        <w:rPr>
          <w:spacing w:val="40"/>
          <w:w w:val="105"/>
        </w:rPr>
        <w:t> </w:t>
      </w:r>
      <w:r>
        <w:rPr>
          <w:w w:val="105"/>
        </w:rPr>
        <w:t>la depreciación experimentada durante el período por los activos financiados por dichas subvenciones, salvo que </w:t>
      </w:r>
      <w:r>
        <w:rPr>
          <w:spacing w:val="4"/>
          <w:w w:val="105"/>
        </w:rPr>
        <w:t>se </w:t>
      </w:r>
      <w:r>
        <w:rPr>
          <w:w w:val="105"/>
        </w:rPr>
        <w:t>trate de activos no depreciables en cuyo caso se imputarán al resultado del ejercicio en que se produzca la enajenación o baja en inventario </w:t>
      </w:r>
      <w:r>
        <w:rPr>
          <w:spacing w:val="2"/>
          <w:w w:val="105"/>
        </w:rPr>
        <w:t>de </w:t>
      </w:r>
      <w:r>
        <w:rPr>
          <w:w w:val="105"/>
        </w:rPr>
        <w:t>los</w:t>
      </w:r>
      <w:r>
        <w:rPr>
          <w:spacing w:val="9"/>
          <w:w w:val="105"/>
        </w:rPr>
        <w:t> </w:t>
      </w:r>
      <w:r>
        <w:rPr>
          <w:w w:val="105"/>
        </w:rPr>
        <w:t>mismos.</w:t>
      </w:r>
    </w:p>
    <w:p>
      <w:pPr>
        <w:pStyle w:val="BodyText"/>
        <w:spacing w:line="302" w:lineRule="auto" w:before="119"/>
        <w:ind w:left="403" w:right="436"/>
        <w:jc w:val="both"/>
      </w:pPr>
      <w:r>
        <w:rPr>
          <w:w w:val="105"/>
        </w:rPr>
        <w:t>Mientras tienen el carácter de subvenciones reintegrables se contabilizan como deudas a largo  plazo transformables en subvenciones.</w:t>
      </w:r>
    </w:p>
    <w:p>
      <w:pPr>
        <w:spacing w:after="0" w:line="302" w:lineRule="auto"/>
        <w:jc w:val="both"/>
        <w:sectPr>
          <w:pgSz w:w="11920" w:h="16850"/>
          <w:pgMar w:header="735" w:footer="891" w:top="1600" w:bottom="1080" w:left="1300" w:right="1300"/>
        </w:sectPr>
      </w:pPr>
    </w:p>
    <w:p>
      <w:pPr>
        <w:pStyle w:val="BodyText"/>
        <w:spacing w:line="302" w:lineRule="auto" w:before="147"/>
        <w:ind w:left="403" w:right="437"/>
        <w:jc w:val="both"/>
      </w:pPr>
      <w:r>
        <w:rPr>
          <w:w w:val="105"/>
        </w:rPr>
        <w:t>Cuando las subvenciones </w:t>
      </w:r>
      <w:r>
        <w:rPr>
          <w:spacing w:val="4"/>
          <w:w w:val="105"/>
        </w:rPr>
        <w:t>se </w:t>
      </w:r>
      <w:r>
        <w:rPr>
          <w:w w:val="105"/>
        </w:rPr>
        <w:t>concedan para financiar gastos específicos se imputarán como ingresos en el ejercicio en que se devenguen los gastos que están</w:t>
      </w:r>
      <w:r>
        <w:rPr>
          <w:spacing w:val="10"/>
          <w:w w:val="105"/>
        </w:rPr>
        <w:t> </w:t>
      </w:r>
      <w:r>
        <w:rPr>
          <w:w w:val="105"/>
        </w:rPr>
        <w:t>financiando.</w:t>
      </w:r>
    </w:p>
    <w:p>
      <w:pPr>
        <w:pStyle w:val="Heading4"/>
        <w:numPr>
          <w:ilvl w:val="1"/>
          <w:numId w:val="1"/>
        </w:numPr>
        <w:tabs>
          <w:tab w:pos="822" w:val="left" w:leader="none"/>
        </w:tabs>
        <w:spacing w:line="240" w:lineRule="auto" w:before="122" w:after="0"/>
        <w:ind w:left="821" w:right="0" w:hanging="419"/>
        <w:jc w:val="left"/>
        <w:rPr>
          <w:i/>
        </w:rPr>
      </w:pPr>
      <w:r>
        <w:rPr>
          <w:i/>
          <w:w w:val="105"/>
        </w:rPr>
        <w:t>Combinaciones </w:t>
      </w:r>
      <w:r>
        <w:rPr>
          <w:i/>
          <w:spacing w:val="2"/>
          <w:w w:val="105"/>
        </w:rPr>
        <w:t>de</w:t>
      </w:r>
      <w:r>
        <w:rPr>
          <w:i/>
          <w:w w:val="105"/>
        </w:rPr>
        <w:t> negocios.</w:t>
      </w:r>
    </w:p>
    <w:p>
      <w:pPr>
        <w:pStyle w:val="BodyText"/>
        <w:spacing w:before="10"/>
        <w:rPr>
          <w:b/>
          <w:i/>
          <w:sz w:val="13"/>
        </w:rPr>
      </w:pPr>
    </w:p>
    <w:p>
      <w:pPr>
        <w:pStyle w:val="BodyText"/>
        <w:spacing w:line="304" w:lineRule="auto"/>
        <w:ind w:left="403" w:right="420"/>
        <w:jc w:val="both"/>
      </w:pPr>
      <w:r>
        <w:rPr>
          <w:w w:val="105"/>
        </w:rPr>
        <w:t>En la fecha de adquisición, los activos identificables adquiridos y los pasivos asumidos se registrarán, con carácter general, por su valor razonable siempre y cuando dicho valor razonable pueda ser medido con suficiente fiabilidad.</w:t>
      </w:r>
    </w:p>
    <w:p>
      <w:pPr>
        <w:pStyle w:val="Heading4"/>
        <w:numPr>
          <w:ilvl w:val="1"/>
          <w:numId w:val="1"/>
        </w:numPr>
        <w:tabs>
          <w:tab w:pos="822" w:val="left" w:leader="none"/>
        </w:tabs>
        <w:spacing w:line="240" w:lineRule="auto" w:before="119" w:after="0"/>
        <w:ind w:left="821" w:right="0" w:hanging="419"/>
        <w:jc w:val="left"/>
        <w:rPr>
          <w:i/>
        </w:rPr>
      </w:pPr>
      <w:r>
        <w:rPr>
          <w:i/>
          <w:w w:val="105"/>
        </w:rPr>
        <w:t>Negocios</w:t>
      </w:r>
      <w:r>
        <w:rPr>
          <w:i/>
          <w:spacing w:val="1"/>
          <w:w w:val="105"/>
        </w:rPr>
        <w:t> </w:t>
      </w:r>
      <w:r>
        <w:rPr>
          <w:i/>
          <w:w w:val="105"/>
        </w:rPr>
        <w:t>conjuntos.</w:t>
      </w:r>
    </w:p>
    <w:p>
      <w:pPr>
        <w:pStyle w:val="BodyText"/>
        <w:spacing w:before="10"/>
        <w:rPr>
          <w:b/>
          <w:i/>
          <w:sz w:val="13"/>
        </w:rPr>
      </w:pPr>
    </w:p>
    <w:p>
      <w:pPr>
        <w:pStyle w:val="BodyText"/>
        <w:spacing w:line="304" w:lineRule="auto"/>
        <w:ind w:left="403" w:right="408"/>
        <w:jc w:val="both"/>
      </w:pPr>
      <w:r>
        <w:rPr>
          <w:w w:val="105"/>
        </w:rPr>
        <w:t>La Sociedad no participa en ninguna actividad económica controlad conjuntamente por dos o más personas físicas o jurídicas.</w:t>
      </w:r>
    </w:p>
    <w:p>
      <w:pPr>
        <w:pStyle w:val="Heading4"/>
        <w:numPr>
          <w:ilvl w:val="1"/>
          <w:numId w:val="1"/>
        </w:numPr>
        <w:tabs>
          <w:tab w:pos="822" w:val="left" w:leader="none"/>
        </w:tabs>
        <w:spacing w:line="240" w:lineRule="auto" w:before="119" w:after="0"/>
        <w:ind w:left="821" w:right="0" w:hanging="419"/>
        <w:jc w:val="left"/>
        <w:rPr>
          <w:i/>
        </w:rPr>
      </w:pPr>
      <w:r>
        <w:rPr>
          <w:i/>
          <w:w w:val="105"/>
        </w:rPr>
        <w:t>Criterios empleados en transacciones entre partes</w:t>
      </w:r>
      <w:r>
        <w:rPr>
          <w:i/>
          <w:spacing w:val="6"/>
          <w:w w:val="105"/>
        </w:rPr>
        <w:t> </w:t>
      </w:r>
      <w:r>
        <w:rPr>
          <w:i/>
          <w:w w:val="105"/>
        </w:rPr>
        <w:t>vinculadas.</w:t>
      </w:r>
    </w:p>
    <w:p>
      <w:pPr>
        <w:pStyle w:val="BodyText"/>
        <w:spacing w:before="9"/>
        <w:rPr>
          <w:b/>
          <w:i/>
          <w:sz w:val="13"/>
        </w:rPr>
      </w:pPr>
    </w:p>
    <w:p>
      <w:pPr>
        <w:pStyle w:val="BodyText"/>
        <w:spacing w:line="300" w:lineRule="auto"/>
        <w:ind w:left="403" w:right="405"/>
        <w:jc w:val="both"/>
      </w:pPr>
      <w:r>
        <w:rPr>
          <w:w w:val="105"/>
        </w:rPr>
        <w:t>En el supuesto de existir, las operaciones entre empresas del mismo grupo, con independencia del grado de vinculación, se contabilizan de acuerdo con las normas generales. Los elementos objeto de las transacciones que se realicen se contabilizarán en el momento inicial por su valor razonable. La valoración posterior se realiza de acuerdo con lo previsto en las normas particulares para las cuentas que corresponda.</w:t>
      </w:r>
    </w:p>
    <w:p>
      <w:pPr>
        <w:pStyle w:val="BodyText"/>
        <w:spacing w:line="304" w:lineRule="auto" w:before="119"/>
        <w:ind w:left="403" w:right="404"/>
        <w:jc w:val="both"/>
      </w:pPr>
      <w:r>
        <w:rPr>
          <w:w w:val="105"/>
        </w:rPr>
        <w:t>Esta norma de valoración afecta a las partes vinculadas que se explicitan en la Norma de elaboración de Cuentas Anuales 13ª del Plan General de Contabilidad. En este sentido:</w:t>
      </w:r>
    </w:p>
    <w:p>
      <w:pPr>
        <w:pStyle w:val="ListParagraph"/>
        <w:numPr>
          <w:ilvl w:val="0"/>
          <w:numId w:val="7"/>
        </w:numPr>
        <w:tabs>
          <w:tab w:pos="971" w:val="left" w:leader="none"/>
          <w:tab w:pos="972" w:val="left" w:leader="none"/>
        </w:tabs>
        <w:spacing w:line="300" w:lineRule="auto" w:before="119" w:after="0"/>
        <w:ind w:left="971" w:right="410" w:hanging="568"/>
        <w:jc w:val="both"/>
        <w:rPr>
          <w:sz w:val="17"/>
        </w:rPr>
      </w:pPr>
      <w:r>
        <w:rPr>
          <w:w w:val="105"/>
          <w:sz w:val="17"/>
        </w:rPr>
        <w:t>Se entenderá que una empresa forma parte del grupo cuando ambas estén vinculadas por una relación de control, directa o indirecta, análoga a la prevista en el artículo 42 del Código </w:t>
      </w:r>
      <w:r>
        <w:rPr>
          <w:spacing w:val="2"/>
          <w:w w:val="105"/>
          <w:sz w:val="17"/>
        </w:rPr>
        <w:t>de </w:t>
      </w:r>
      <w:r>
        <w:rPr>
          <w:w w:val="105"/>
          <w:sz w:val="17"/>
        </w:rPr>
        <w:t>Comercio, o </w:t>
      </w:r>
      <w:r>
        <w:rPr>
          <w:spacing w:val="2"/>
          <w:w w:val="105"/>
          <w:sz w:val="17"/>
        </w:rPr>
        <w:t>cuando </w:t>
      </w:r>
      <w:r>
        <w:rPr>
          <w:w w:val="105"/>
          <w:sz w:val="17"/>
        </w:rPr>
        <w:t>las empresas estén controladas por cualquier medio por una o varias personas jurídicas que actúen conjuntamente o </w:t>
      </w:r>
      <w:r>
        <w:rPr>
          <w:spacing w:val="4"/>
          <w:w w:val="105"/>
          <w:sz w:val="17"/>
        </w:rPr>
        <w:t>se </w:t>
      </w:r>
      <w:r>
        <w:rPr>
          <w:w w:val="105"/>
          <w:sz w:val="17"/>
        </w:rPr>
        <w:t>hallen bajo dirección única por acuerdos o cláusulas</w:t>
      </w:r>
      <w:r>
        <w:rPr>
          <w:spacing w:val="10"/>
          <w:w w:val="105"/>
          <w:sz w:val="17"/>
        </w:rPr>
        <w:t> </w:t>
      </w:r>
      <w:r>
        <w:rPr>
          <w:w w:val="105"/>
          <w:sz w:val="17"/>
        </w:rPr>
        <w:t>estatutarias.</w:t>
      </w:r>
    </w:p>
    <w:p>
      <w:pPr>
        <w:pStyle w:val="ListParagraph"/>
        <w:numPr>
          <w:ilvl w:val="0"/>
          <w:numId w:val="7"/>
        </w:numPr>
        <w:tabs>
          <w:tab w:pos="971" w:val="left" w:leader="none"/>
          <w:tab w:pos="972" w:val="left" w:leader="none"/>
        </w:tabs>
        <w:spacing w:line="300" w:lineRule="auto" w:before="120" w:after="0"/>
        <w:ind w:left="971" w:right="398" w:hanging="568"/>
        <w:jc w:val="both"/>
        <w:rPr>
          <w:sz w:val="17"/>
        </w:rPr>
      </w:pPr>
      <w:r>
        <w:rPr>
          <w:w w:val="105"/>
          <w:sz w:val="17"/>
        </w:rPr>
        <w:t>Se entenderá que una empresa es asociada cuando, sin que </w:t>
      </w:r>
      <w:r>
        <w:rPr>
          <w:spacing w:val="4"/>
          <w:w w:val="105"/>
          <w:sz w:val="17"/>
        </w:rPr>
        <w:t>se </w:t>
      </w:r>
      <w:r>
        <w:rPr>
          <w:w w:val="105"/>
          <w:sz w:val="17"/>
        </w:rPr>
        <w:t>trate de una empresa del grupo en el sentido señalado, la empresa o las personas físicas dominantes, ejerzan sobre esa empresa asociada una influencia significativa, tal como se desarrolla detenidamente en la citada Norma de elaboración </w:t>
      </w:r>
      <w:r>
        <w:rPr>
          <w:spacing w:val="2"/>
          <w:w w:val="105"/>
          <w:sz w:val="17"/>
        </w:rPr>
        <w:t>de </w:t>
      </w:r>
      <w:r>
        <w:rPr>
          <w:w w:val="105"/>
          <w:sz w:val="17"/>
        </w:rPr>
        <w:t>Cuentas Anuales 13ª.</w:t>
      </w:r>
    </w:p>
    <w:p>
      <w:pPr>
        <w:pStyle w:val="ListParagraph"/>
        <w:numPr>
          <w:ilvl w:val="0"/>
          <w:numId w:val="7"/>
        </w:numPr>
        <w:tabs>
          <w:tab w:pos="971" w:val="left" w:leader="none"/>
          <w:tab w:pos="972" w:val="left" w:leader="none"/>
        </w:tabs>
        <w:spacing w:line="300" w:lineRule="auto" w:before="126" w:after="0"/>
        <w:ind w:left="971" w:right="407" w:hanging="568"/>
        <w:jc w:val="both"/>
        <w:rPr>
          <w:sz w:val="17"/>
        </w:rPr>
      </w:pPr>
      <w:r>
        <w:rPr>
          <w:w w:val="105"/>
          <w:sz w:val="17"/>
        </w:rPr>
        <w:t>Una parte </w:t>
      </w:r>
      <w:r>
        <w:rPr>
          <w:spacing w:val="4"/>
          <w:w w:val="105"/>
          <w:sz w:val="17"/>
        </w:rPr>
        <w:t>se </w:t>
      </w:r>
      <w:r>
        <w:rPr>
          <w:w w:val="105"/>
          <w:sz w:val="17"/>
        </w:rPr>
        <w:t>considera vinculada a otra cuando una </w:t>
      </w:r>
      <w:r>
        <w:rPr>
          <w:spacing w:val="2"/>
          <w:w w:val="105"/>
          <w:sz w:val="17"/>
        </w:rPr>
        <w:t>de </w:t>
      </w:r>
      <w:r>
        <w:rPr>
          <w:w w:val="105"/>
          <w:sz w:val="17"/>
        </w:rPr>
        <w:t>ellas ejerce o tiene la posibilidad de ejercer directa o indirectamente o en virtud de pactos o acuerdos entre accionistas o partícipes, el control sobre otra o una influencia significativa en la toma de decisiones financieras y de explotación </w:t>
      </w:r>
      <w:r>
        <w:rPr>
          <w:spacing w:val="2"/>
          <w:w w:val="105"/>
          <w:sz w:val="17"/>
        </w:rPr>
        <w:t>de </w:t>
      </w:r>
      <w:r>
        <w:rPr>
          <w:w w:val="105"/>
          <w:sz w:val="17"/>
        </w:rPr>
        <w:t>la otra, tal como se detalla detenidamente en la Norma </w:t>
      </w:r>
      <w:r>
        <w:rPr>
          <w:spacing w:val="2"/>
          <w:w w:val="105"/>
          <w:sz w:val="17"/>
        </w:rPr>
        <w:t>de </w:t>
      </w:r>
      <w:r>
        <w:rPr>
          <w:w w:val="105"/>
          <w:sz w:val="17"/>
        </w:rPr>
        <w:t>elaboración </w:t>
      </w:r>
      <w:r>
        <w:rPr>
          <w:spacing w:val="2"/>
          <w:w w:val="105"/>
          <w:sz w:val="17"/>
        </w:rPr>
        <w:t>de </w:t>
      </w:r>
      <w:r>
        <w:rPr>
          <w:w w:val="105"/>
          <w:sz w:val="17"/>
        </w:rPr>
        <w:t>Cuentas Anuales</w:t>
      </w:r>
      <w:r>
        <w:rPr>
          <w:spacing w:val="10"/>
          <w:w w:val="105"/>
          <w:sz w:val="17"/>
        </w:rPr>
        <w:t> </w:t>
      </w:r>
      <w:r>
        <w:rPr>
          <w:w w:val="105"/>
          <w:sz w:val="17"/>
        </w:rPr>
        <w:t>15ª.</w:t>
      </w:r>
    </w:p>
    <w:p>
      <w:pPr>
        <w:pStyle w:val="BodyText"/>
        <w:spacing w:line="300" w:lineRule="auto" w:before="119"/>
        <w:ind w:left="403" w:right="398"/>
        <w:jc w:val="both"/>
      </w:pPr>
      <w:r>
        <w:rPr>
          <w:w w:val="105"/>
        </w:rPr>
        <w:t>Se consideran partes vinculadas a la Sociedad, adicionalmente a las empresas del grupo,  asociadas y multigrupo, a las personas físicas que posean directa o indirectamente alguna participación en los derechos de voto de la  Sociedad, o en su dominante, </w:t>
      </w:r>
      <w:r>
        <w:rPr>
          <w:spacing w:val="2"/>
          <w:w w:val="105"/>
        </w:rPr>
        <w:t>de </w:t>
      </w:r>
      <w:r>
        <w:rPr>
          <w:w w:val="105"/>
        </w:rPr>
        <w:t>manera que les permita ejercer sobre una u otra una influencia significativa, así como a sus familiares próximos, al personal clave de la Sociedad o de su dominante (personas físicas con autoridad   y responsabilidad sobre la planificación, dirección y control de las actividades </w:t>
      </w:r>
      <w:r>
        <w:rPr>
          <w:spacing w:val="2"/>
          <w:w w:val="105"/>
        </w:rPr>
        <w:t>de </w:t>
      </w:r>
      <w:r>
        <w:rPr>
          <w:w w:val="105"/>
        </w:rPr>
        <w:t>la empresa, ya sea directa o indirectamente), entre la que se incluyen los Administradores y los Directivos, junto a sus familiares próximos, así como a las entidades sobre las que las personas mencionadas anteriormente puedan ejercer una influencia significativa. Asimismo tienen la consideración </w:t>
      </w:r>
      <w:r>
        <w:rPr>
          <w:spacing w:val="2"/>
          <w:w w:val="105"/>
        </w:rPr>
        <w:t>de </w:t>
      </w:r>
      <w:r>
        <w:rPr>
          <w:w w:val="105"/>
        </w:rPr>
        <w:t>parte vinculadas las empresas que compartan algún consejero o directivo con la Sociedad, salvo cuando éste no ejerza una influencia significativa en las políticas financiera y </w:t>
      </w:r>
      <w:r>
        <w:rPr>
          <w:spacing w:val="2"/>
          <w:w w:val="105"/>
        </w:rPr>
        <w:t>de </w:t>
      </w:r>
      <w:r>
        <w:rPr>
          <w:w w:val="105"/>
        </w:rPr>
        <w:t>explotación </w:t>
      </w:r>
      <w:r>
        <w:rPr>
          <w:spacing w:val="2"/>
          <w:w w:val="105"/>
        </w:rPr>
        <w:t>de </w:t>
      </w:r>
      <w:r>
        <w:rPr>
          <w:w w:val="105"/>
        </w:rPr>
        <w:t>ambas, y, en su caso, los familiares próximos del representante persona física de los miembros del órgano </w:t>
      </w:r>
      <w:r>
        <w:rPr>
          <w:spacing w:val="2"/>
          <w:w w:val="105"/>
        </w:rPr>
        <w:t>de </w:t>
      </w:r>
      <w:r>
        <w:rPr>
          <w:w w:val="105"/>
        </w:rPr>
        <w:t>administración, persona jurídica, </w:t>
      </w:r>
      <w:r>
        <w:rPr>
          <w:spacing w:val="2"/>
          <w:w w:val="105"/>
        </w:rPr>
        <w:t>de </w:t>
      </w:r>
      <w:r>
        <w:rPr>
          <w:w w:val="105"/>
        </w:rPr>
        <w:t>la</w:t>
      </w:r>
      <w:r>
        <w:rPr>
          <w:spacing w:val="-4"/>
          <w:w w:val="105"/>
        </w:rPr>
        <w:t> </w:t>
      </w:r>
      <w:r>
        <w:rPr>
          <w:w w:val="105"/>
        </w:rPr>
        <w:t>Sociedad.</w:t>
      </w:r>
    </w:p>
    <w:p>
      <w:pPr>
        <w:spacing w:after="0" w:line="300" w:lineRule="auto"/>
        <w:jc w:val="both"/>
        <w:sectPr>
          <w:pgSz w:w="11920" w:h="16850"/>
          <w:pgMar w:header="735" w:footer="891" w:top="1600" w:bottom="1080" w:left="1300" w:right="1300"/>
        </w:sectPr>
      </w:pPr>
    </w:p>
    <w:p>
      <w:pPr>
        <w:pStyle w:val="Heading1"/>
        <w:numPr>
          <w:ilvl w:val="0"/>
          <w:numId w:val="1"/>
        </w:numPr>
        <w:tabs>
          <w:tab w:pos="971" w:val="left" w:leader="none"/>
          <w:tab w:pos="972" w:val="left" w:leader="none"/>
        </w:tabs>
        <w:spacing w:line="240" w:lineRule="auto" w:before="87" w:after="0"/>
        <w:ind w:left="971" w:right="0" w:hanging="569"/>
        <w:jc w:val="left"/>
      </w:pPr>
      <w:r>
        <w:rPr/>
        <w:t>Inmovilizado material, intangible e inversiones</w:t>
      </w:r>
      <w:r>
        <w:rPr>
          <w:spacing w:val="5"/>
        </w:rPr>
        <w:t> </w:t>
      </w:r>
      <w:r>
        <w:rPr/>
        <w:t>inmobiliarias</w:t>
      </w:r>
    </w:p>
    <w:p>
      <w:pPr>
        <w:pStyle w:val="BodyText"/>
        <w:spacing w:before="150"/>
        <w:ind w:left="403"/>
      </w:pPr>
      <w:r>
        <w:rPr>
          <w:w w:val="105"/>
        </w:rPr>
        <w:t>El movimiento habido en este capítulo del balance de situación abreviado adjunto es el siguiente:</w:t>
      </w:r>
    </w:p>
    <w:p>
      <w:pPr>
        <w:spacing w:before="135"/>
        <w:ind w:left="190" w:right="0" w:firstLine="0"/>
        <w:jc w:val="left"/>
        <w:rPr>
          <w:b/>
          <w:sz w:val="16"/>
        </w:rPr>
      </w:pPr>
      <w:r>
        <w:rPr>
          <w:b/>
          <w:sz w:val="16"/>
        </w:rPr>
        <w:t>A) Estados de movimientos del INMOVILIZADO MATERIAL E INTANGIBLE</w:t>
      </w: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7"/>
        <w:gridCol w:w="1277"/>
        <w:gridCol w:w="1235"/>
        <w:gridCol w:w="1178"/>
      </w:tblGrid>
      <w:tr>
        <w:trPr>
          <w:trHeight w:val="387" w:hRule="atLeast"/>
        </w:trPr>
        <w:tc>
          <w:tcPr>
            <w:tcW w:w="5387" w:type="dxa"/>
            <w:shd w:val="clear" w:color="auto" w:fill="D9D9D9"/>
          </w:tcPr>
          <w:p>
            <w:pPr>
              <w:pStyle w:val="TableParagraph"/>
              <w:spacing w:before="0"/>
              <w:jc w:val="left"/>
              <w:rPr>
                <w:rFonts w:ascii="Times New Roman"/>
                <w:sz w:val="16"/>
              </w:rPr>
            </w:pPr>
          </w:p>
        </w:tc>
        <w:tc>
          <w:tcPr>
            <w:tcW w:w="1277" w:type="dxa"/>
            <w:shd w:val="clear" w:color="auto" w:fill="D9D9D9"/>
          </w:tcPr>
          <w:p>
            <w:pPr>
              <w:pStyle w:val="TableParagraph"/>
              <w:spacing w:line="192" w:lineRule="exact" w:before="1"/>
              <w:ind w:left="307" w:right="187" w:hanging="100"/>
              <w:jc w:val="left"/>
              <w:rPr>
                <w:b/>
                <w:sz w:val="16"/>
              </w:rPr>
            </w:pPr>
            <w:r>
              <w:rPr>
                <w:b/>
                <w:sz w:val="16"/>
              </w:rPr>
              <w:t>Inmovilizado intangible</w:t>
            </w:r>
          </w:p>
        </w:tc>
        <w:tc>
          <w:tcPr>
            <w:tcW w:w="1235" w:type="dxa"/>
            <w:shd w:val="clear" w:color="auto" w:fill="D9D9D9"/>
          </w:tcPr>
          <w:p>
            <w:pPr>
              <w:pStyle w:val="TableParagraph"/>
              <w:spacing w:line="192" w:lineRule="exact" w:before="1"/>
              <w:ind w:left="336" w:right="166" w:hanging="150"/>
              <w:jc w:val="left"/>
              <w:rPr>
                <w:b/>
                <w:sz w:val="16"/>
              </w:rPr>
            </w:pPr>
            <w:r>
              <w:rPr>
                <w:b/>
                <w:sz w:val="16"/>
              </w:rPr>
              <w:t>Inmovilizado material</w:t>
            </w:r>
          </w:p>
        </w:tc>
        <w:tc>
          <w:tcPr>
            <w:tcW w:w="1178" w:type="dxa"/>
            <w:shd w:val="clear" w:color="auto" w:fill="D9D9D9"/>
          </w:tcPr>
          <w:p>
            <w:pPr>
              <w:pStyle w:val="TableParagraph"/>
              <w:spacing w:before="11"/>
              <w:jc w:val="left"/>
              <w:rPr>
                <w:b/>
                <w:sz w:val="15"/>
              </w:rPr>
            </w:pPr>
          </w:p>
          <w:p>
            <w:pPr>
              <w:pStyle w:val="TableParagraph"/>
              <w:spacing w:line="174" w:lineRule="exact" w:before="0"/>
              <w:ind w:left="400" w:right="388"/>
              <w:jc w:val="center"/>
              <w:rPr>
                <w:b/>
                <w:sz w:val="16"/>
              </w:rPr>
            </w:pPr>
            <w:r>
              <w:rPr>
                <w:b/>
                <w:sz w:val="16"/>
              </w:rPr>
              <w:t>Total</w:t>
            </w:r>
          </w:p>
        </w:tc>
      </w:tr>
      <w:tr>
        <w:trPr>
          <w:trHeight w:val="259" w:hRule="atLeast"/>
        </w:trPr>
        <w:tc>
          <w:tcPr>
            <w:tcW w:w="5387" w:type="dxa"/>
          </w:tcPr>
          <w:p>
            <w:pPr>
              <w:pStyle w:val="TableParagraph"/>
              <w:spacing w:before="30"/>
              <w:ind w:left="73"/>
              <w:jc w:val="left"/>
              <w:rPr>
                <w:b/>
                <w:sz w:val="16"/>
              </w:rPr>
            </w:pPr>
            <w:r>
              <w:rPr>
                <w:b/>
                <w:sz w:val="16"/>
              </w:rPr>
              <w:t>C) SALDO INICIAL BRUTO, EJERCICIO 2024</w:t>
            </w:r>
          </w:p>
        </w:tc>
        <w:tc>
          <w:tcPr>
            <w:tcW w:w="1277" w:type="dxa"/>
          </w:tcPr>
          <w:p>
            <w:pPr>
              <w:pStyle w:val="TableParagraph"/>
              <w:spacing w:before="30"/>
              <w:ind w:right="51"/>
              <w:rPr>
                <w:b/>
                <w:sz w:val="16"/>
              </w:rPr>
            </w:pPr>
            <w:r>
              <w:rPr>
                <w:b/>
                <w:sz w:val="16"/>
              </w:rPr>
              <w:t>244,95</w:t>
            </w:r>
          </w:p>
        </w:tc>
        <w:tc>
          <w:tcPr>
            <w:tcW w:w="1235" w:type="dxa"/>
          </w:tcPr>
          <w:p>
            <w:pPr>
              <w:pStyle w:val="TableParagraph"/>
              <w:spacing w:before="30"/>
              <w:ind w:right="52"/>
              <w:rPr>
                <w:b/>
                <w:sz w:val="16"/>
              </w:rPr>
            </w:pPr>
            <w:r>
              <w:rPr>
                <w:b/>
                <w:sz w:val="16"/>
              </w:rPr>
              <w:t>93.428,28</w:t>
            </w:r>
          </w:p>
        </w:tc>
        <w:tc>
          <w:tcPr>
            <w:tcW w:w="1178" w:type="dxa"/>
          </w:tcPr>
          <w:p>
            <w:pPr>
              <w:pStyle w:val="TableParagraph"/>
              <w:spacing w:before="30"/>
              <w:ind w:right="52"/>
              <w:rPr>
                <w:b/>
                <w:sz w:val="16"/>
              </w:rPr>
            </w:pPr>
            <w:r>
              <w:rPr>
                <w:b/>
                <w:sz w:val="16"/>
              </w:rPr>
              <w:t>93.673,23</w:t>
            </w:r>
          </w:p>
        </w:tc>
      </w:tr>
      <w:tr>
        <w:trPr>
          <w:trHeight w:val="252" w:hRule="atLeast"/>
        </w:trPr>
        <w:tc>
          <w:tcPr>
            <w:tcW w:w="5387" w:type="dxa"/>
          </w:tcPr>
          <w:p>
            <w:pPr>
              <w:pStyle w:val="TableParagraph"/>
              <w:spacing w:before="30"/>
              <w:ind w:left="73"/>
              <w:jc w:val="left"/>
              <w:rPr>
                <w:sz w:val="16"/>
              </w:rPr>
            </w:pPr>
            <w:r>
              <w:rPr>
                <w:sz w:val="16"/>
              </w:rPr>
              <w:t>(+) Entradas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2"/>
              <w:rPr>
                <w:sz w:val="16"/>
              </w:rPr>
            </w:pPr>
            <w:r>
              <w:rPr>
                <w:sz w:val="16"/>
              </w:rPr>
              <w:t>28.994,78</w:t>
            </w:r>
          </w:p>
        </w:tc>
        <w:tc>
          <w:tcPr>
            <w:tcW w:w="1178" w:type="dxa"/>
          </w:tcPr>
          <w:p>
            <w:pPr>
              <w:pStyle w:val="TableParagraph"/>
              <w:spacing w:before="30"/>
              <w:ind w:right="52"/>
              <w:rPr>
                <w:sz w:val="16"/>
              </w:rPr>
            </w:pPr>
            <w:r>
              <w:rPr>
                <w:sz w:val="16"/>
              </w:rPr>
              <w:t>28.994,78</w:t>
            </w:r>
          </w:p>
        </w:tc>
      </w:tr>
      <w:tr>
        <w:trPr>
          <w:trHeight w:val="252" w:hRule="atLeast"/>
        </w:trPr>
        <w:tc>
          <w:tcPr>
            <w:tcW w:w="5387" w:type="dxa"/>
          </w:tcPr>
          <w:p>
            <w:pPr>
              <w:pStyle w:val="TableParagraph"/>
              <w:spacing w:before="30"/>
              <w:ind w:left="73"/>
              <w:jc w:val="left"/>
              <w:rPr>
                <w:sz w:val="16"/>
              </w:rPr>
            </w:pPr>
            <w:r>
              <w:rPr>
                <w:sz w:val="16"/>
              </w:rPr>
              <w:t>(-) Salidas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60" w:hRule="atLeast"/>
        </w:trPr>
        <w:tc>
          <w:tcPr>
            <w:tcW w:w="5387" w:type="dxa"/>
          </w:tcPr>
          <w:p>
            <w:pPr>
              <w:pStyle w:val="TableParagraph"/>
              <w:spacing w:before="31"/>
              <w:ind w:left="73"/>
              <w:jc w:val="left"/>
              <w:rPr>
                <w:b/>
                <w:sz w:val="16"/>
              </w:rPr>
            </w:pPr>
            <w:r>
              <w:rPr>
                <w:b/>
                <w:sz w:val="16"/>
              </w:rPr>
              <w:t>D) SALDO FINAL BRUTO, EJERCICIO 2024</w:t>
            </w:r>
          </w:p>
        </w:tc>
        <w:tc>
          <w:tcPr>
            <w:tcW w:w="1277" w:type="dxa"/>
          </w:tcPr>
          <w:p>
            <w:pPr>
              <w:pStyle w:val="TableParagraph"/>
              <w:spacing w:before="31"/>
              <w:ind w:right="51"/>
              <w:rPr>
                <w:b/>
                <w:sz w:val="16"/>
              </w:rPr>
            </w:pPr>
            <w:r>
              <w:rPr>
                <w:b/>
                <w:sz w:val="16"/>
              </w:rPr>
              <w:t>244,95</w:t>
            </w:r>
          </w:p>
        </w:tc>
        <w:tc>
          <w:tcPr>
            <w:tcW w:w="1235" w:type="dxa"/>
          </w:tcPr>
          <w:p>
            <w:pPr>
              <w:pStyle w:val="TableParagraph"/>
              <w:spacing w:before="31"/>
              <w:ind w:right="52"/>
              <w:rPr>
                <w:b/>
                <w:sz w:val="16"/>
              </w:rPr>
            </w:pPr>
            <w:r>
              <w:rPr>
                <w:b/>
                <w:sz w:val="16"/>
              </w:rPr>
              <w:t>122.423,06</w:t>
            </w:r>
          </w:p>
        </w:tc>
        <w:tc>
          <w:tcPr>
            <w:tcW w:w="1178" w:type="dxa"/>
          </w:tcPr>
          <w:p>
            <w:pPr>
              <w:pStyle w:val="TableParagraph"/>
              <w:spacing w:before="31"/>
              <w:ind w:right="52"/>
              <w:rPr>
                <w:b/>
                <w:sz w:val="16"/>
              </w:rPr>
            </w:pPr>
            <w:r>
              <w:rPr>
                <w:b/>
                <w:sz w:val="16"/>
              </w:rPr>
              <w:t>122.668,01</w:t>
            </w:r>
          </w:p>
        </w:tc>
      </w:tr>
      <w:tr>
        <w:trPr>
          <w:trHeight w:val="252" w:hRule="atLeast"/>
        </w:trPr>
        <w:tc>
          <w:tcPr>
            <w:tcW w:w="5387" w:type="dxa"/>
          </w:tcPr>
          <w:p>
            <w:pPr>
              <w:pStyle w:val="TableParagraph"/>
              <w:spacing w:before="30"/>
              <w:ind w:left="73"/>
              <w:jc w:val="left"/>
              <w:rPr>
                <w:b/>
                <w:sz w:val="16"/>
              </w:rPr>
            </w:pPr>
            <w:r>
              <w:rPr>
                <w:b/>
                <w:sz w:val="16"/>
              </w:rPr>
              <w:t>G) AMORTIZACIÓN ACUMULADA, SALDO INICIAL EJERCICIO 2024</w:t>
            </w:r>
          </w:p>
        </w:tc>
        <w:tc>
          <w:tcPr>
            <w:tcW w:w="1277" w:type="dxa"/>
          </w:tcPr>
          <w:p>
            <w:pPr>
              <w:pStyle w:val="TableParagraph"/>
              <w:spacing w:before="30"/>
              <w:ind w:right="51"/>
              <w:rPr>
                <w:b/>
                <w:sz w:val="16"/>
              </w:rPr>
            </w:pPr>
            <w:r>
              <w:rPr>
                <w:b/>
                <w:sz w:val="16"/>
              </w:rPr>
              <w:t>244,95</w:t>
            </w:r>
          </w:p>
        </w:tc>
        <w:tc>
          <w:tcPr>
            <w:tcW w:w="1235" w:type="dxa"/>
          </w:tcPr>
          <w:p>
            <w:pPr>
              <w:pStyle w:val="TableParagraph"/>
              <w:spacing w:before="30"/>
              <w:ind w:right="52"/>
              <w:rPr>
                <w:b/>
                <w:sz w:val="16"/>
              </w:rPr>
            </w:pPr>
            <w:r>
              <w:rPr>
                <w:b/>
                <w:sz w:val="16"/>
              </w:rPr>
              <w:t>84.505,48</w:t>
            </w:r>
          </w:p>
        </w:tc>
        <w:tc>
          <w:tcPr>
            <w:tcW w:w="1178" w:type="dxa"/>
          </w:tcPr>
          <w:p>
            <w:pPr>
              <w:pStyle w:val="TableParagraph"/>
              <w:spacing w:before="30"/>
              <w:ind w:right="52"/>
              <w:rPr>
                <w:b/>
                <w:sz w:val="16"/>
              </w:rPr>
            </w:pPr>
            <w:r>
              <w:rPr>
                <w:b/>
                <w:sz w:val="16"/>
              </w:rPr>
              <w:t>84.750,43</w:t>
            </w:r>
          </w:p>
        </w:tc>
      </w:tr>
      <w:tr>
        <w:trPr>
          <w:trHeight w:val="252" w:hRule="atLeast"/>
        </w:trPr>
        <w:tc>
          <w:tcPr>
            <w:tcW w:w="5387" w:type="dxa"/>
          </w:tcPr>
          <w:p>
            <w:pPr>
              <w:pStyle w:val="TableParagraph"/>
              <w:spacing w:before="30"/>
              <w:ind w:left="73"/>
              <w:jc w:val="left"/>
              <w:rPr>
                <w:sz w:val="16"/>
              </w:rPr>
            </w:pPr>
            <w:r>
              <w:rPr>
                <w:sz w:val="16"/>
              </w:rPr>
              <w:t>(+) Dotación a la amortización del ejercicio 2024</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2"/>
              <w:rPr>
                <w:sz w:val="16"/>
              </w:rPr>
            </w:pPr>
            <w:r>
              <w:rPr>
                <w:sz w:val="16"/>
              </w:rPr>
              <w:t>3.146,83</w:t>
            </w:r>
          </w:p>
        </w:tc>
        <w:tc>
          <w:tcPr>
            <w:tcW w:w="1178" w:type="dxa"/>
          </w:tcPr>
          <w:p>
            <w:pPr>
              <w:pStyle w:val="TableParagraph"/>
              <w:spacing w:before="30"/>
              <w:ind w:right="52"/>
              <w:rPr>
                <w:sz w:val="16"/>
              </w:rPr>
            </w:pPr>
            <w:r>
              <w:rPr>
                <w:sz w:val="16"/>
              </w:rPr>
              <w:t>3.146,83</w:t>
            </w:r>
          </w:p>
        </w:tc>
      </w:tr>
      <w:tr>
        <w:trPr>
          <w:trHeight w:val="259" w:hRule="atLeast"/>
        </w:trPr>
        <w:tc>
          <w:tcPr>
            <w:tcW w:w="5387" w:type="dxa"/>
          </w:tcPr>
          <w:p>
            <w:pPr>
              <w:pStyle w:val="TableParagraph"/>
              <w:spacing w:before="30"/>
              <w:ind w:left="73"/>
              <w:jc w:val="left"/>
              <w:rPr>
                <w:sz w:val="16"/>
              </w:rPr>
            </w:pPr>
            <w:r>
              <w:rPr>
                <w:sz w:val="16"/>
              </w:rPr>
              <w:t>(+) Aumentos por adquisiciones o traspasos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52" w:hRule="atLeast"/>
        </w:trPr>
        <w:tc>
          <w:tcPr>
            <w:tcW w:w="5387" w:type="dxa"/>
          </w:tcPr>
          <w:p>
            <w:pPr>
              <w:pStyle w:val="TableParagraph"/>
              <w:spacing w:before="30"/>
              <w:ind w:left="73"/>
              <w:jc w:val="left"/>
              <w:rPr>
                <w:sz w:val="16"/>
              </w:rPr>
            </w:pPr>
            <w:r>
              <w:rPr>
                <w:sz w:val="16"/>
              </w:rPr>
              <w:t>(-) Disminuciones por salidas, bajas, reducciones o traspasos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52" w:hRule="atLeast"/>
        </w:trPr>
        <w:tc>
          <w:tcPr>
            <w:tcW w:w="5387" w:type="dxa"/>
          </w:tcPr>
          <w:p>
            <w:pPr>
              <w:pStyle w:val="TableParagraph"/>
              <w:spacing w:before="31"/>
              <w:ind w:left="73"/>
              <w:jc w:val="left"/>
              <w:rPr>
                <w:b/>
                <w:sz w:val="16"/>
              </w:rPr>
            </w:pPr>
            <w:r>
              <w:rPr>
                <w:b/>
                <w:sz w:val="16"/>
              </w:rPr>
              <w:t>H) AMORTIZACIÓN ACUMULADA, SALDO FINAL EJERCICIO 2024</w:t>
            </w:r>
          </w:p>
        </w:tc>
        <w:tc>
          <w:tcPr>
            <w:tcW w:w="1277" w:type="dxa"/>
          </w:tcPr>
          <w:p>
            <w:pPr>
              <w:pStyle w:val="TableParagraph"/>
              <w:spacing w:before="31"/>
              <w:ind w:right="51"/>
              <w:rPr>
                <w:b/>
                <w:sz w:val="16"/>
              </w:rPr>
            </w:pPr>
            <w:r>
              <w:rPr>
                <w:b/>
                <w:sz w:val="16"/>
              </w:rPr>
              <w:t>244,95</w:t>
            </w:r>
          </w:p>
        </w:tc>
        <w:tc>
          <w:tcPr>
            <w:tcW w:w="1235" w:type="dxa"/>
          </w:tcPr>
          <w:p>
            <w:pPr>
              <w:pStyle w:val="TableParagraph"/>
              <w:spacing w:before="31"/>
              <w:ind w:right="52"/>
              <w:rPr>
                <w:b/>
                <w:sz w:val="16"/>
              </w:rPr>
            </w:pPr>
            <w:r>
              <w:rPr>
                <w:b/>
                <w:sz w:val="16"/>
              </w:rPr>
              <w:t>87.652,31</w:t>
            </w:r>
          </w:p>
        </w:tc>
        <w:tc>
          <w:tcPr>
            <w:tcW w:w="1178" w:type="dxa"/>
          </w:tcPr>
          <w:p>
            <w:pPr>
              <w:pStyle w:val="TableParagraph"/>
              <w:spacing w:before="31"/>
              <w:ind w:right="52"/>
              <w:rPr>
                <w:b/>
                <w:sz w:val="16"/>
              </w:rPr>
            </w:pPr>
            <w:r>
              <w:rPr>
                <w:b/>
                <w:sz w:val="16"/>
              </w:rPr>
              <w:t>87.897,26</w:t>
            </w:r>
          </w:p>
        </w:tc>
      </w:tr>
      <w:tr>
        <w:trPr>
          <w:trHeight w:val="259" w:hRule="atLeast"/>
        </w:trPr>
        <w:tc>
          <w:tcPr>
            <w:tcW w:w="5387" w:type="dxa"/>
          </w:tcPr>
          <w:p>
            <w:pPr>
              <w:pStyle w:val="TableParagraph"/>
              <w:spacing w:before="37"/>
              <w:ind w:left="73"/>
              <w:jc w:val="left"/>
              <w:rPr>
                <w:b/>
                <w:sz w:val="16"/>
              </w:rPr>
            </w:pPr>
            <w:r>
              <w:rPr>
                <w:b/>
                <w:sz w:val="16"/>
              </w:rPr>
              <w:t>I) CORRECCIOINES DE VALOR POR DETERIORO, SALDO INICIAL EJERCICIO 2024</w:t>
            </w:r>
          </w:p>
        </w:tc>
        <w:tc>
          <w:tcPr>
            <w:tcW w:w="1277" w:type="dxa"/>
          </w:tcPr>
          <w:p>
            <w:pPr>
              <w:pStyle w:val="TableParagraph"/>
              <w:spacing w:before="37"/>
              <w:ind w:right="55"/>
              <w:rPr>
                <w:b/>
                <w:sz w:val="16"/>
              </w:rPr>
            </w:pPr>
            <w:r>
              <w:rPr>
                <w:b/>
                <w:w w:val="101"/>
                <w:sz w:val="16"/>
              </w:rPr>
              <w:t>-</w:t>
            </w:r>
          </w:p>
        </w:tc>
        <w:tc>
          <w:tcPr>
            <w:tcW w:w="1235" w:type="dxa"/>
          </w:tcPr>
          <w:p>
            <w:pPr>
              <w:pStyle w:val="TableParagraph"/>
              <w:spacing w:before="37"/>
              <w:ind w:right="55"/>
              <w:rPr>
                <w:b/>
                <w:sz w:val="16"/>
              </w:rPr>
            </w:pPr>
            <w:r>
              <w:rPr>
                <w:b/>
                <w:w w:val="101"/>
                <w:sz w:val="16"/>
              </w:rPr>
              <w:t>-</w:t>
            </w:r>
          </w:p>
        </w:tc>
        <w:tc>
          <w:tcPr>
            <w:tcW w:w="1178" w:type="dxa"/>
          </w:tcPr>
          <w:p>
            <w:pPr>
              <w:pStyle w:val="TableParagraph"/>
              <w:spacing w:before="37"/>
              <w:ind w:right="55"/>
              <w:rPr>
                <w:b/>
                <w:sz w:val="16"/>
              </w:rPr>
            </w:pPr>
            <w:r>
              <w:rPr>
                <w:b/>
                <w:w w:val="101"/>
                <w:sz w:val="16"/>
              </w:rPr>
              <w:t>-</w:t>
            </w:r>
          </w:p>
        </w:tc>
      </w:tr>
      <w:tr>
        <w:trPr>
          <w:trHeight w:val="252" w:hRule="atLeast"/>
        </w:trPr>
        <w:tc>
          <w:tcPr>
            <w:tcW w:w="5387" w:type="dxa"/>
          </w:tcPr>
          <w:p>
            <w:pPr>
              <w:pStyle w:val="TableParagraph"/>
              <w:spacing w:before="30"/>
              <w:ind w:left="73"/>
              <w:jc w:val="left"/>
              <w:rPr>
                <w:sz w:val="16"/>
              </w:rPr>
            </w:pPr>
            <w:r>
              <w:rPr>
                <w:sz w:val="16"/>
              </w:rPr>
              <w:t>(+) Correcciones valorativas por deterioro reconocidas en el periodo</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52" w:hRule="atLeast"/>
        </w:trPr>
        <w:tc>
          <w:tcPr>
            <w:tcW w:w="5387" w:type="dxa"/>
          </w:tcPr>
          <w:p>
            <w:pPr>
              <w:pStyle w:val="TableParagraph"/>
              <w:spacing w:before="30"/>
              <w:ind w:left="73"/>
              <w:jc w:val="left"/>
              <w:rPr>
                <w:sz w:val="16"/>
              </w:rPr>
            </w:pPr>
            <w:r>
              <w:rPr>
                <w:sz w:val="16"/>
              </w:rPr>
              <w:t>(-) Reversión de correcciones valorativas por deterioro</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60" w:hRule="atLeast"/>
        </w:trPr>
        <w:tc>
          <w:tcPr>
            <w:tcW w:w="5387" w:type="dxa"/>
          </w:tcPr>
          <w:p>
            <w:pPr>
              <w:pStyle w:val="TableParagraph"/>
              <w:spacing w:before="38"/>
              <w:ind w:left="73"/>
              <w:jc w:val="left"/>
              <w:rPr>
                <w:sz w:val="16"/>
              </w:rPr>
            </w:pPr>
            <w:r>
              <w:rPr>
                <w:sz w:val="16"/>
              </w:rPr>
              <w:t>(-) Disminuciones por salidas, bajas, reducciones o traspasos</w:t>
            </w:r>
          </w:p>
        </w:tc>
        <w:tc>
          <w:tcPr>
            <w:tcW w:w="1277" w:type="dxa"/>
          </w:tcPr>
          <w:p>
            <w:pPr>
              <w:pStyle w:val="TableParagraph"/>
              <w:spacing w:before="38"/>
              <w:ind w:right="55"/>
              <w:rPr>
                <w:sz w:val="16"/>
              </w:rPr>
            </w:pPr>
            <w:r>
              <w:rPr>
                <w:w w:val="101"/>
                <w:sz w:val="16"/>
              </w:rPr>
              <w:t>-</w:t>
            </w:r>
          </w:p>
        </w:tc>
        <w:tc>
          <w:tcPr>
            <w:tcW w:w="1235" w:type="dxa"/>
          </w:tcPr>
          <w:p>
            <w:pPr>
              <w:pStyle w:val="TableParagraph"/>
              <w:spacing w:before="38"/>
              <w:ind w:right="55"/>
              <w:rPr>
                <w:sz w:val="16"/>
              </w:rPr>
            </w:pPr>
            <w:r>
              <w:rPr>
                <w:w w:val="101"/>
                <w:sz w:val="16"/>
              </w:rPr>
              <w:t>-</w:t>
            </w:r>
          </w:p>
        </w:tc>
        <w:tc>
          <w:tcPr>
            <w:tcW w:w="1178" w:type="dxa"/>
          </w:tcPr>
          <w:p>
            <w:pPr>
              <w:pStyle w:val="TableParagraph"/>
              <w:spacing w:before="38"/>
              <w:ind w:right="55"/>
              <w:rPr>
                <w:sz w:val="16"/>
              </w:rPr>
            </w:pPr>
            <w:r>
              <w:rPr>
                <w:w w:val="101"/>
                <w:sz w:val="16"/>
              </w:rPr>
              <w:t>-</w:t>
            </w:r>
          </w:p>
        </w:tc>
      </w:tr>
      <w:tr>
        <w:trPr>
          <w:trHeight w:val="252" w:hRule="atLeast"/>
        </w:trPr>
        <w:tc>
          <w:tcPr>
            <w:tcW w:w="5387" w:type="dxa"/>
          </w:tcPr>
          <w:p>
            <w:pPr>
              <w:pStyle w:val="TableParagraph"/>
              <w:spacing w:before="30"/>
              <w:ind w:left="73"/>
              <w:jc w:val="left"/>
              <w:rPr>
                <w:b/>
                <w:sz w:val="16"/>
              </w:rPr>
            </w:pPr>
            <w:r>
              <w:rPr>
                <w:b/>
                <w:sz w:val="16"/>
              </w:rPr>
              <w:t>J) CORRECCIONES VALOR POR DETERIORO, SALDO FINAL EJERCICIO 2024</w:t>
            </w:r>
          </w:p>
        </w:tc>
        <w:tc>
          <w:tcPr>
            <w:tcW w:w="1277" w:type="dxa"/>
          </w:tcPr>
          <w:p>
            <w:pPr>
              <w:pStyle w:val="TableParagraph"/>
              <w:spacing w:before="30"/>
              <w:ind w:right="55"/>
              <w:rPr>
                <w:b/>
                <w:sz w:val="16"/>
              </w:rPr>
            </w:pPr>
            <w:r>
              <w:rPr>
                <w:b/>
                <w:w w:val="101"/>
                <w:sz w:val="16"/>
              </w:rPr>
              <w:t>-</w:t>
            </w:r>
          </w:p>
        </w:tc>
        <w:tc>
          <w:tcPr>
            <w:tcW w:w="1235" w:type="dxa"/>
          </w:tcPr>
          <w:p>
            <w:pPr>
              <w:pStyle w:val="TableParagraph"/>
              <w:spacing w:before="30"/>
              <w:ind w:right="55"/>
              <w:rPr>
                <w:b/>
                <w:sz w:val="16"/>
              </w:rPr>
            </w:pPr>
            <w:r>
              <w:rPr>
                <w:b/>
                <w:w w:val="101"/>
                <w:sz w:val="16"/>
              </w:rPr>
              <w:t>-</w:t>
            </w:r>
          </w:p>
        </w:tc>
        <w:tc>
          <w:tcPr>
            <w:tcW w:w="1178" w:type="dxa"/>
          </w:tcPr>
          <w:p>
            <w:pPr>
              <w:pStyle w:val="TableParagraph"/>
              <w:spacing w:before="30"/>
              <w:ind w:right="55"/>
              <w:rPr>
                <w:b/>
                <w:sz w:val="16"/>
              </w:rPr>
            </w:pPr>
            <w:r>
              <w:rPr>
                <w:b/>
                <w:w w:val="101"/>
                <w:sz w:val="16"/>
              </w:rPr>
              <w:t>-</w:t>
            </w:r>
          </w:p>
        </w:tc>
      </w:tr>
      <w:tr>
        <w:trPr>
          <w:trHeight w:val="259" w:hRule="atLeast"/>
        </w:trPr>
        <w:tc>
          <w:tcPr>
            <w:tcW w:w="5387" w:type="dxa"/>
          </w:tcPr>
          <w:p>
            <w:pPr>
              <w:pStyle w:val="TableParagraph"/>
              <w:spacing w:before="30"/>
              <w:ind w:left="73"/>
              <w:jc w:val="left"/>
              <w:rPr>
                <w:b/>
                <w:sz w:val="16"/>
              </w:rPr>
            </w:pPr>
            <w:r>
              <w:rPr>
                <w:b/>
                <w:sz w:val="16"/>
              </w:rPr>
              <w:t>M) VALOR NETO CONTABLE FINAL EJERCICIO 2024</w:t>
            </w:r>
          </w:p>
        </w:tc>
        <w:tc>
          <w:tcPr>
            <w:tcW w:w="1277" w:type="dxa"/>
          </w:tcPr>
          <w:p>
            <w:pPr>
              <w:pStyle w:val="TableParagraph"/>
              <w:spacing w:before="30"/>
              <w:ind w:right="55"/>
              <w:rPr>
                <w:b/>
                <w:sz w:val="16"/>
              </w:rPr>
            </w:pPr>
            <w:r>
              <w:rPr>
                <w:b/>
                <w:w w:val="101"/>
                <w:sz w:val="16"/>
              </w:rPr>
              <w:t>-</w:t>
            </w:r>
          </w:p>
        </w:tc>
        <w:tc>
          <w:tcPr>
            <w:tcW w:w="1235" w:type="dxa"/>
          </w:tcPr>
          <w:p>
            <w:pPr>
              <w:pStyle w:val="TableParagraph"/>
              <w:spacing w:before="30"/>
              <w:ind w:right="52"/>
              <w:rPr>
                <w:b/>
                <w:sz w:val="16"/>
              </w:rPr>
            </w:pPr>
            <w:r>
              <w:rPr>
                <w:b/>
                <w:sz w:val="16"/>
              </w:rPr>
              <w:t>34.770,75</w:t>
            </w:r>
          </w:p>
        </w:tc>
        <w:tc>
          <w:tcPr>
            <w:tcW w:w="1178" w:type="dxa"/>
          </w:tcPr>
          <w:p>
            <w:pPr>
              <w:pStyle w:val="TableParagraph"/>
              <w:spacing w:before="30"/>
              <w:ind w:right="52"/>
              <w:rPr>
                <w:b/>
                <w:sz w:val="16"/>
              </w:rPr>
            </w:pPr>
            <w:r>
              <w:rPr>
                <w:b/>
                <w:sz w:val="16"/>
              </w:rPr>
              <w:t>34.770,75</w:t>
            </w:r>
          </w:p>
        </w:tc>
      </w:tr>
    </w:tbl>
    <w:p>
      <w:pPr>
        <w:pStyle w:val="BodyText"/>
        <w:spacing w:before="3"/>
        <w:rPr>
          <w:b/>
          <w:sz w:val="9"/>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7"/>
        <w:gridCol w:w="1277"/>
        <w:gridCol w:w="1235"/>
        <w:gridCol w:w="1178"/>
      </w:tblGrid>
      <w:tr>
        <w:trPr>
          <w:trHeight w:val="387" w:hRule="atLeast"/>
        </w:trPr>
        <w:tc>
          <w:tcPr>
            <w:tcW w:w="5387" w:type="dxa"/>
            <w:shd w:val="clear" w:color="auto" w:fill="D9D9D9"/>
          </w:tcPr>
          <w:p>
            <w:pPr>
              <w:pStyle w:val="TableParagraph"/>
              <w:spacing w:before="0"/>
              <w:jc w:val="left"/>
              <w:rPr>
                <w:rFonts w:ascii="Times New Roman"/>
                <w:sz w:val="16"/>
              </w:rPr>
            </w:pPr>
          </w:p>
        </w:tc>
        <w:tc>
          <w:tcPr>
            <w:tcW w:w="1277" w:type="dxa"/>
            <w:shd w:val="clear" w:color="auto" w:fill="D9D9D9"/>
          </w:tcPr>
          <w:p>
            <w:pPr>
              <w:pStyle w:val="TableParagraph"/>
              <w:spacing w:line="192" w:lineRule="exact" w:before="1"/>
              <w:ind w:left="307" w:right="187" w:hanging="100"/>
              <w:jc w:val="left"/>
              <w:rPr>
                <w:b/>
                <w:sz w:val="16"/>
              </w:rPr>
            </w:pPr>
            <w:r>
              <w:rPr>
                <w:b/>
                <w:sz w:val="16"/>
              </w:rPr>
              <w:t>Inmovilizado intangible</w:t>
            </w:r>
          </w:p>
        </w:tc>
        <w:tc>
          <w:tcPr>
            <w:tcW w:w="1235" w:type="dxa"/>
            <w:shd w:val="clear" w:color="auto" w:fill="D9D9D9"/>
          </w:tcPr>
          <w:p>
            <w:pPr>
              <w:pStyle w:val="TableParagraph"/>
              <w:spacing w:line="192" w:lineRule="exact" w:before="1"/>
              <w:ind w:left="336" w:right="166" w:hanging="150"/>
              <w:jc w:val="left"/>
              <w:rPr>
                <w:b/>
                <w:sz w:val="16"/>
              </w:rPr>
            </w:pPr>
            <w:r>
              <w:rPr>
                <w:b/>
                <w:sz w:val="16"/>
              </w:rPr>
              <w:t>Inmovilizado material</w:t>
            </w:r>
          </w:p>
        </w:tc>
        <w:tc>
          <w:tcPr>
            <w:tcW w:w="1178" w:type="dxa"/>
            <w:shd w:val="clear" w:color="auto" w:fill="D9D9D9"/>
          </w:tcPr>
          <w:p>
            <w:pPr>
              <w:pStyle w:val="TableParagraph"/>
              <w:spacing w:before="10"/>
              <w:jc w:val="left"/>
              <w:rPr>
                <w:b/>
                <w:sz w:val="15"/>
              </w:rPr>
            </w:pPr>
          </w:p>
          <w:p>
            <w:pPr>
              <w:pStyle w:val="TableParagraph"/>
              <w:spacing w:line="174" w:lineRule="exact" w:before="0"/>
              <w:ind w:left="400" w:right="388"/>
              <w:jc w:val="center"/>
              <w:rPr>
                <w:b/>
                <w:sz w:val="16"/>
              </w:rPr>
            </w:pPr>
            <w:r>
              <w:rPr>
                <w:b/>
                <w:sz w:val="16"/>
              </w:rPr>
              <w:t>Total</w:t>
            </w:r>
          </w:p>
        </w:tc>
      </w:tr>
      <w:tr>
        <w:trPr>
          <w:trHeight w:val="259" w:hRule="atLeast"/>
        </w:trPr>
        <w:tc>
          <w:tcPr>
            <w:tcW w:w="5387" w:type="dxa"/>
          </w:tcPr>
          <w:p>
            <w:pPr>
              <w:pStyle w:val="TableParagraph"/>
              <w:spacing w:before="30"/>
              <w:ind w:left="73"/>
              <w:jc w:val="left"/>
              <w:rPr>
                <w:b/>
                <w:sz w:val="16"/>
              </w:rPr>
            </w:pPr>
            <w:r>
              <w:rPr>
                <w:b/>
                <w:sz w:val="16"/>
              </w:rPr>
              <w:t>C) SALDO INICIAL BRUTO, EJERCICIO 2023</w:t>
            </w:r>
          </w:p>
        </w:tc>
        <w:tc>
          <w:tcPr>
            <w:tcW w:w="1277" w:type="dxa"/>
          </w:tcPr>
          <w:p>
            <w:pPr>
              <w:pStyle w:val="TableParagraph"/>
              <w:spacing w:before="30"/>
              <w:ind w:right="51"/>
              <w:rPr>
                <w:b/>
                <w:sz w:val="16"/>
              </w:rPr>
            </w:pPr>
            <w:r>
              <w:rPr>
                <w:b/>
                <w:sz w:val="16"/>
              </w:rPr>
              <w:t>244,95</w:t>
            </w:r>
          </w:p>
        </w:tc>
        <w:tc>
          <w:tcPr>
            <w:tcW w:w="1235" w:type="dxa"/>
          </w:tcPr>
          <w:p>
            <w:pPr>
              <w:pStyle w:val="TableParagraph"/>
              <w:spacing w:before="30"/>
              <w:ind w:right="52"/>
              <w:rPr>
                <w:b/>
                <w:sz w:val="16"/>
              </w:rPr>
            </w:pPr>
            <w:r>
              <w:rPr>
                <w:b/>
                <w:sz w:val="16"/>
              </w:rPr>
              <w:t>92.755,45</w:t>
            </w:r>
          </w:p>
        </w:tc>
        <w:tc>
          <w:tcPr>
            <w:tcW w:w="1178" w:type="dxa"/>
          </w:tcPr>
          <w:p>
            <w:pPr>
              <w:pStyle w:val="TableParagraph"/>
              <w:spacing w:before="30"/>
              <w:ind w:right="51"/>
              <w:rPr>
                <w:b/>
                <w:sz w:val="16"/>
              </w:rPr>
            </w:pPr>
            <w:r>
              <w:rPr>
                <w:b/>
                <w:sz w:val="16"/>
              </w:rPr>
              <w:t>93.000,40</w:t>
            </w:r>
          </w:p>
        </w:tc>
      </w:tr>
      <w:tr>
        <w:trPr>
          <w:trHeight w:val="252" w:hRule="atLeast"/>
        </w:trPr>
        <w:tc>
          <w:tcPr>
            <w:tcW w:w="5387" w:type="dxa"/>
          </w:tcPr>
          <w:p>
            <w:pPr>
              <w:pStyle w:val="TableParagraph"/>
              <w:spacing w:before="30"/>
              <w:ind w:left="73"/>
              <w:jc w:val="left"/>
              <w:rPr>
                <w:sz w:val="16"/>
              </w:rPr>
            </w:pPr>
            <w:r>
              <w:rPr>
                <w:sz w:val="16"/>
              </w:rPr>
              <w:t>(+) Entradas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2"/>
              <w:rPr>
                <w:sz w:val="16"/>
              </w:rPr>
            </w:pPr>
            <w:r>
              <w:rPr>
                <w:sz w:val="16"/>
              </w:rPr>
              <w:t>3.106,70</w:t>
            </w:r>
          </w:p>
        </w:tc>
        <w:tc>
          <w:tcPr>
            <w:tcW w:w="1178" w:type="dxa"/>
          </w:tcPr>
          <w:p>
            <w:pPr>
              <w:pStyle w:val="TableParagraph"/>
              <w:spacing w:before="30"/>
              <w:ind w:right="55"/>
              <w:rPr>
                <w:sz w:val="16"/>
              </w:rPr>
            </w:pPr>
            <w:r>
              <w:rPr>
                <w:sz w:val="16"/>
              </w:rPr>
              <w:t>3.106,70</w:t>
            </w:r>
          </w:p>
        </w:tc>
      </w:tr>
      <w:tr>
        <w:trPr>
          <w:trHeight w:val="252" w:hRule="atLeast"/>
        </w:trPr>
        <w:tc>
          <w:tcPr>
            <w:tcW w:w="5387" w:type="dxa"/>
          </w:tcPr>
          <w:p>
            <w:pPr>
              <w:pStyle w:val="TableParagraph"/>
              <w:spacing w:before="30"/>
              <w:ind w:left="73"/>
              <w:jc w:val="left"/>
              <w:rPr>
                <w:sz w:val="16"/>
              </w:rPr>
            </w:pPr>
            <w:r>
              <w:rPr>
                <w:sz w:val="16"/>
              </w:rPr>
              <w:t>(-) Salidas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2"/>
              <w:rPr>
                <w:sz w:val="16"/>
              </w:rPr>
            </w:pPr>
            <w:r>
              <w:rPr>
                <w:sz w:val="16"/>
              </w:rPr>
              <w:t>-2.433,87</w:t>
            </w:r>
          </w:p>
        </w:tc>
        <w:tc>
          <w:tcPr>
            <w:tcW w:w="1178" w:type="dxa"/>
          </w:tcPr>
          <w:p>
            <w:pPr>
              <w:pStyle w:val="TableParagraph"/>
              <w:spacing w:before="30"/>
              <w:ind w:right="52"/>
              <w:rPr>
                <w:sz w:val="16"/>
              </w:rPr>
            </w:pPr>
            <w:r>
              <w:rPr>
                <w:sz w:val="16"/>
              </w:rPr>
              <w:t>-2.433,87</w:t>
            </w:r>
          </w:p>
        </w:tc>
      </w:tr>
      <w:tr>
        <w:trPr>
          <w:trHeight w:val="259" w:hRule="atLeast"/>
        </w:trPr>
        <w:tc>
          <w:tcPr>
            <w:tcW w:w="5387" w:type="dxa"/>
          </w:tcPr>
          <w:p>
            <w:pPr>
              <w:pStyle w:val="TableParagraph"/>
              <w:spacing w:before="38"/>
              <w:ind w:left="73"/>
              <w:jc w:val="left"/>
              <w:rPr>
                <w:b/>
                <w:sz w:val="16"/>
              </w:rPr>
            </w:pPr>
            <w:r>
              <w:rPr>
                <w:b/>
                <w:sz w:val="16"/>
              </w:rPr>
              <w:t>D) SALDO FINAL BRUTO, EJERCICIO 2023</w:t>
            </w:r>
          </w:p>
        </w:tc>
        <w:tc>
          <w:tcPr>
            <w:tcW w:w="1277" w:type="dxa"/>
          </w:tcPr>
          <w:p>
            <w:pPr>
              <w:pStyle w:val="TableParagraph"/>
              <w:spacing w:before="38"/>
              <w:ind w:right="51"/>
              <w:rPr>
                <w:b/>
                <w:sz w:val="16"/>
              </w:rPr>
            </w:pPr>
            <w:r>
              <w:rPr>
                <w:b/>
                <w:sz w:val="16"/>
              </w:rPr>
              <w:t>244,95</w:t>
            </w:r>
          </w:p>
        </w:tc>
        <w:tc>
          <w:tcPr>
            <w:tcW w:w="1235" w:type="dxa"/>
          </w:tcPr>
          <w:p>
            <w:pPr>
              <w:pStyle w:val="TableParagraph"/>
              <w:spacing w:before="38"/>
              <w:ind w:right="52"/>
              <w:rPr>
                <w:b/>
                <w:sz w:val="16"/>
              </w:rPr>
            </w:pPr>
            <w:r>
              <w:rPr>
                <w:b/>
                <w:sz w:val="16"/>
              </w:rPr>
              <w:t>93.428,28</w:t>
            </w:r>
          </w:p>
        </w:tc>
        <w:tc>
          <w:tcPr>
            <w:tcW w:w="1178" w:type="dxa"/>
          </w:tcPr>
          <w:p>
            <w:pPr>
              <w:pStyle w:val="TableParagraph"/>
              <w:spacing w:before="38"/>
              <w:ind w:right="52"/>
              <w:rPr>
                <w:b/>
                <w:sz w:val="16"/>
              </w:rPr>
            </w:pPr>
            <w:r>
              <w:rPr>
                <w:b/>
                <w:sz w:val="16"/>
              </w:rPr>
              <w:t>93.673,23</w:t>
            </w:r>
          </w:p>
        </w:tc>
      </w:tr>
      <w:tr>
        <w:trPr>
          <w:trHeight w:val="252" w:hRule="atLeast"/>
        </w:trPr>
        <w:tc>
          <w:tcPr>
            <w:tcW w:w="5387" w:type="dxa"/>
          </w:tcPr>
          <w:p>
            <w:pPr>
              <w:pStyle w:val="TableParagraph"/>
              <w:spacing w:before="31"/>
              <w:ind w:left="73"/>
              <w:jc w:val="left"/>
              <w:rPr>
                <w:b/>
                <w:sz w:val="16"/>
              </w:rPr>
            </w:pPr>
            <w:r>
              <w:rPr>
                <w:b/>
                <w:sz w:val="16"/>
              </w:rPr>
              <w:t>G) AMORTIZACIÓN ACUMULADA, SALDO INICIAL EJERCICIO 2023</w:t>
            </w:r>
          </w:p>
        </w:tc>
        <w:tc>
          <w:tcPr>
            <w:tcW w:w="1277" w:type="dxa"/>
          </w:tcPr>
          <w:p>
            <w:pPr>
              <w:pStyle w:val="TableParagraph"/>
              <w:spacing w:before="31"/>
              <w:ind w:right="51"/>
              <w:rPr>
                <w:b/>
                <w:sz w:val="16"/>
              </w:rPr>
            </w:pPr>
            <w:r>
              <w:rPr>
                <w:b/>
                <w:sz w:val="16"/>
              </w:rPr>
              <w:t>244,95</w:t>
            </w:r>
          </w:p>
        </w:tc>
        <w:tc>
          <w:tcPr>
            <w:tcW w:w="1235" w:type="dxa"/>
          </w:tcPr>
          <w:p>
            <w:pPr>
              <w:pStyle w:val="TableParagraph"/>
              <w:spacing w:before="31"/>
              <w:ind w:right="52"/>
              <w:rPr>
                <w:b/>
                <w:sz w:val="16"/>
              </w:rPr>
            </w:pPr>
            <w:r>
              <w:rPr>
                <w:b/>
                <w:sz w:val="16"/>
              </w:rPr>
              <w:t>81.290,06</w:t>
            </w:r>
          </w:p>
        </w:tc>
        <w:tc>
          <w:tcPr>
            <w:tcW w:w="1178" w:type="dxa"/>
          </w:tcPr>
          <w:p>
            <w:pPr>
              <w:pStyle w:val="TableParagraph"/>
              <w:spacing w:before="31"/>
              <w:ind w:right="52"/>
              <w:rPr>
                <w:b/>
                <w:sz w:val="16"/>
              </w:rPr>
            </w:pPr>
            <w:r>
              <w:rPr>
                <w:b/>
                <w:sz w:val="16"/>
              </w:rPr>
              <w:t>81.535,01</w:t>
            </w:r>
          </w:p>
        </w:tc>
      </w:tr>
      <w:tr>
        <w:trPr>
          <w:trHeight w:val="252" w:hRule="atLeast"/>
        </w:trPr>
        <w:tc>
          <w:tcPr>
            <w:tcW w:w="5387" w:type="dxa"/>
          </w:tcPr>
          <w:p>
            <w:pPr>
              <w:pStyle w:val="TableParagraph"/>
              <w:spacing w:before="30"/>
              <w:ind w:left="73"/>
              <w:jc w:val="left"/>
              <w:rPr>
                <w:sz w:val="16"/>
              </w:rPr>
            </w:pPr>
            <w:r>
              <w:rPr>
                <w:sz w:val="16"/>
              </w:rPr>
              <w:t>(+) Dotación a la amortización del ejercicio 2023</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2"/>
              <w:rPr>
                <w:sz w:val="16"/>
              </w:rPr>
            </w:pPr>
            <w:r>
              <w:rPr>
                <w:sz w:val="16"/>
              </w:rPr>
              <w:t>3.215,42</w:t>
            </w:r>
          </w:p>
        </w:tc>
        <w:tc>
          <w:tcPr>
            <w:tcW w:w="1178" w:type="dxa"/>
          </w:tcPr>
          <w:p>
            <w:pPr>
              <w:pStyle w:val="TableParagraph"/>
              <w:spacing w:before="30"/>
              <w:ind w:right="52"/>
              <w:rPr>
                <w:sz w:val="16"/>
              </w:rPr>
            </w:pPr>
            <w:r>
              <w:rPr>
                <w:sz w:val="16"/>
              </w:rPr>
              <w:t>3.215,42</w:t>
            </w:r>
          </w:p>
        </w:tc>
      </w:tr>
      <w:tr>
        <w:trPr>
          <w:trHeight w:val="259" w:hRule="atLeast"/>
        </w:trPr>
        <w:tc>
          <w:tcPr>
            <w:tcW w:w="5387" w:type="dxa"/>
          </w:tcPr>
          <w:p>
            <w:pPr>
              <w:pStyle w:val="TableParagraph"/>
              <w:spacing w:before="38"/>
              <w:ind w:left="73"/>
              <w:jc w:val="left"/>
              <w:rPr>
                <w:sz w:val="16"/>
              </w:rPr>
            </w:pPr>
            <w:r>
              <w:rPr>
                <w:sz w:val="16"/>
              </w:rPr>
              <w:t>(+) Aumentos por adquisiciones o traspasos</w:t>
            </w:r>
          </w:p>
        </w:tc>
        <w:tc>
          <w:tcPr>
            <w:tcW w:w="1277" w:type="dxa"/>
          </w:tcPr>
          <w:p>
            <w:pPr>
              <w:pStyle w:val="TableParagraph"/>
              <w:spacing w:before="38"/>
              <w:ind w:right="55"/>
              <w:rPr>
                <w:sz w:val="16"/>
              </w:rPr>
            </w:pPr>
            <w:r>
              <w:rPr>
                <w:w w:val="101"/>
                <w:sz w:val="16"/>
              </w:rPr>
              <w:t>-</w:t>
            </w:r>
          </w:p>
        </w:tc>
        <w:tc>
          <w:tcPr>
            <w:tcW w:w="1235" w:type="dxa"/>
          </w:tcPr>
          <w:p>
            <w:pPr>
              <w:pStyle w:val="TableParagraph"/>
              <w:spacing w:before="38"/>
              <w:ind w:right="55"/>
              <w:rPr>
                <w:sz w:val="16"/>
              </w:rPr>
            </w:pPr>
            <w:r>
              <w:rPr>
                <w:w w:val="101"/>
                <w:sz w:val="16"/>
              </w:rPr>
              <w:t>-</w:t>
            </w:r>
          </w:p>
        </w:tc>
        <w:tc>
          <w:tcPr>
            <w:tcW w:w="1178" w:type="dxa"/>
          </w:tcPr>
          <w:p>
            <w:pPr>
              <w:pStyle w:val="TableParagraph"/>
              <w:spacing w:before="38"/>
              <w:ind w:right="55"/>
              <w:rPr>
                <w:sz w:val="16"/>
              </w:rPr>
            </w:pPr>
            <w:r>
              <w:rPr>
                <w:w w:val="101"/>
                <w:sz w:val="16"/>
              </w:rPr>
              <w:t>-</w:t>
            </w:r>
          </w:p>
        </w:tc>
      </w:tr>
      <w:tr>
        <w:trPr>
          <w:trHeight w:val="252" w:hRule="atLeast"/>
        </w:trPr>
        <w:tc>
          <w:tcPr>
            <w:tcW w:w="5387" w:type="dxa"/>
          </w:tcPr>
          <w:p>
            <w:pPr>
              <w:pStyle w:val="TableParagraph"/>
              <w:spacing w:before="30"/>
              <w:ind w:left="73"/>
              <w:jc w:val="left"/>
              <w:rPr>
                <w:sz w:val="16"/>
              </w:rPr>
            </w:pPr>
            <w:r>
              <w:rPr>
                <w:sz w:val="16"/>
              </w:rPr>
              <w:t>(-) Disminuciones por salidas, bajas, reducciones o traspasos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60" w:hRule="atLeast"/>
        </w:trPr>
        <w:tc>
          <w:tcPr>
            <w:tcW w:w="5387" w:type="dxa"/>
          </w:tcPr>
          <w:p>
            <w:pPr>
              <w:pStyle w:val="TableParagraph"/>
              <w:spacing w:before="30"/>
              <w:ind w:left="73"/>
              <w:jc w:val="left"/>
              <w:rPr>
                <w:b/>
                <w:sz w:val="16"/>
              </w:rPr>
            </w:pPr>
            <w:r>
              <w:rPr>
                <w:b/>
                <w:sz w:val="16"/>
              </w:rPr>
              <w:t>H) AMORTIZACIÓN ACUMULADA, SALDO FINAL EJERCICIO 2023</w:t>
            </w:r>
          </w:p>
        </w:tc>
        <w:tc>
          <w:tcPr>
            <w:tcW w:w="1277" w:type="dxa"/>
          </w:tcPr>
          <w:p>
            <w:pPr>
              <w:pStyle w:val="TableParagraph"/>
              <w:spacing w:before="30"/>
              <w:ind w:right="51"/>
              <w:rPr>
                <w:b/>
                <w:sz w:val="16"/>
              </w:rPr>
            </w:pPr>
            <w:r>
              <w:rPr>
                <w:b/>
                <w:sz w:val="16"/>
              </w:rPr>
              <w:t>244,95</w:t>
            </w:r>
          </w:p>
        </w:tc>
        <w:tc>
          <w:tcPr>
            <w:tcW w:w="1235" w:type="dxa"/>
          </w:tcPr>
          <w:p>
            <w:pPr>
              <w:pStyle w:val="TableParagraph"/>
              <w:spacing w:before="30"/>
              <w:ind w:right="52"/>
              <w:rPr>
                <w:b/>
                <w:sz w:val="16"/>
              </w:rPr>
            </w:pPr>
            <w:r>
              <w:rPr>
                <w:b/>
                <w:sz w:val="16"/>
              </w:rPr>
              <w:t>84.505,48</w:t>
            </w:r>
          </w:p>
        </w:tc>
        <w:tc>
          <w:tcPr>
            <w:tcW w:w="1178" w:type="dxa"/>
          </w:tcPr>
          <w:p>
            <w:pPr>
              <w:pStyle w:val="TableParagraph"/>
              <w:spacing w:before="30"/>
              <w:ind w:right="52"/>
              <w:rPr>
                <w:b/>
                <w:sz w:val="16"/>
              </w:rPr>
            </w:pPr>
            <w:r>
              <w:rPr>
                <w:b/>
                <w:sz w:val="16"/>
              </w:rPr>
              <w:t>84.750,43</w:t>
            </w:r>
          </w:p>
        </w:tc>
      </w:tr>
      <w:tr>
        <w:trPr>
          <w:trHeight w:val="252" w:hRule="atLeast"/>
        </w:trPr>
        <w:tc>
          <w:tcPr>
            <w:tcW w:w="5387" w:type="dxa"/>
          </w:tcPr>
          <w:p>
            <w:pPr>
              <w:pStyle w:val="TableParagraph"/>
              <w:spacing w:before="31"/>
              <w:ind w:left="73"/>
              <w:jc w:val="left"/>
              <w:rPr>
                <w:b/>
                <w:sz w:val="16"/>
              </w:rPr>
            </w:pPr>
            <w:r>
              <w:rPr>
                <w:b/>
                <w:sz w:val="16"/>
              </w:rPr>
              <w:t>I) CORRECCIONES DE VALOR POR DETERIORO, SALDO INICIAL EJERCICIO 2023</w:t>
            </w:r>
          </w:p>
        </w:tc>
        <w:tc>
          <w:tcPr>
            <w:tcW w:w="1277" w:type="dxa"/>
          </w:tcPr>
          <w:p>
            <w:pPr>
              <w:pStyle w:val="TableParagraph"/>
              <w:spacing w:before="31"/>
              <w:ind w:right="55"/>
              <w:rPr>
                <w:b/>
                <w:sz w:val="16"/>
              </w:rPr>
            </w:pPr>
            <w:r>
              <w:rPr>
                <w:b/>
                <w:w w:val="101"/>
                <w:sz w:val="16"/>
              </w:rPr>
              <w:t>-</w:t>
            </w:r>
          </w:p>
        </w:tc>
        <w:tc>
          <w:tcPr>
            <w:tcW w:w="1235" w:type="dxa"/>
          </w:tcPr>
          <w:p>
            <w:pPr>
              <w:pStyle w:val="TableParagraph"/>
              <w:spacing w:before="31"/>
              <w:ind w:right="55"/>
              <w:rPr>
                <w:b/>
                <w:sz w:val="16"/>
              </w:rPr>
            </w:pPr>
            <w:r>
              <w:rPr>
                <w:b/>
                <w:w w:val="101"/>
                <w:sz w:val="16"/>
              </w:rPr>
              <w:t>-</w:t>
            </w:r>
          </w:p>
        </w:tc>
        <w:tc>
          <w:tcPr>
            <w:tcW w:w="1178" w:type="dxa"/>
          </w:tcPr>
          <w:p>
            <w:pPr>
              <w:pStyle w:val="TableParagraph"/>
              <w:spacing w:before="31"/>
              <w:ind w:right="55"/>
              <w:rPr>
                <w:b/>
                <w:sz w:val="16"/>
              </w:rPr>
            </w:pPr>
            <w:r>
              <w:rPr>
                <w:b/>
                <w:w w:val="101"/>
                <w:sz w:val="16"/>
              </w:rPr>
              <w:t>-</w:t>
            </w:r>
          </w:p>
        </w:tc>
      </w:tr>
      <w:tr>
        <w:trPr>
          <w:trHeight w:val="252" w:hRule="atLeast"/>
        </w:trPr>
        <w:tc>
          <w:tcPr>
            <w:tcW w:w="5387" w:type="dxa"/>
          </w:tcPr>
          <w:p>
            <w:pPr>
              <w:pStyle w:val="TableParagraph"/>
              <w:spacing w:before="30"/>
              <w:ind w:left="73"/>
              <w:jc w:val="left"/>
              <w:rPr>
                <w:sz w:val="16"/>
              </w:rPr>
            </w:pPr>
            <w:r>
              <w:rPr>
                <w:sz w:val="16"/>
              </w:rPr>
              <w:t>(+) Correcciones valorativas por deterioro reconocidas en el periodo</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59" w:hRule="atLeast"/>
        </w:trPr>
        <w:tc>
          <w:tcPr>
            <w:tcW w:w="5387" w:type="dxa"/>
          </w:tcPr>
          <w:p>
            <w:pPr>
              <w:pStyle w:val="TableParagraph"/>
              <w:spacing w:before="30"/>
              <w:ind w:left="73"/>
              <w:jc w:val="left"/>
              <w:rPr>
                <w:sz w:val="16"/>
              </w:rPr>
            </w:pPr>
            <w:r>
              <w:rPr>
                <w:sz w:val="16"/>
              </w:rPr>
              <w:t>(-) Reversión de correcciones valorativas por deterioro</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52" w:hRule="atLeast"/>
        </w:trPr>
        <w:tc>
          <w:tcPr>
            <w:tcW w:w="5387" w:type="dxa"/>
          </w:tcPr>
          <w:p>
            <w:pPr>
              <w:pStyle w:val="TableParagraph"/>
              <w:spacing w:before="30"/>
              <w:ind w:left="73"/>
              <w:jc w:val="left"/>
              <w:rPr>
                <w:sz w:val="16"/>
              </w:rPr>
            </w:pPr>
            <w:r>
              <w:rPr>
                <w:sz w:val="16"/>
              </w:rPr>
              <w:t>(-) Disminuciones por salidas, bajas, reducciones o traspasos</w:t>
            </w:r>
          </w:p>
        </w:tc>
        <w:tc>
          <w:tcPr>
            <w:tcW w:w="1277" w:type="dxa"/>
          </w:tcPr>
          <w:p>
            <w:pPr>
              <w:pStyle w:val="TableParagraph"/>
              <w:spacing w:before="30"/>
              <w:ind w:right="55"/>
              <w:rPr>
                <w:sz w:val="16"/>
              </w:rPr>
            </w:pPr>
            <w:r>
              <w:rPr>
                <w:w w:val="101"/>
                <w:sz w:val="16"/>
              </w:rPr>
              <w:t>-</w:t>
            </w:r>
          </w:p>
        </w:tc>
        <w:tc>
          <w:tcPr>
            <w:tcW w:w="1235" w:type="dxa"/>
          </w:tcPr>
          <w:p>
            <w:pPr>
              <w:pStyle w:val="TableParagraph"/>
              <w:spacing w:before="30"/>
              <w:ind w:right="55"/>
              <w:rPr>
                <w:sz w:val="16"/>
              </w:rPr>
            </w:pPr>
            <w:r>
              <w:rPr>
                <w:w w:val="101"/>
                <w:sz w:val="16"/>
              </w:rPr>
              <w:t>-</w:t>
            </w:r>
          </w:p>
        </w:tc>
        <w:tc>
          <w:tcPr>
            <w:tcW w:w="1178" w:type="dxa"/>
          </w:tcPr>
          <w:p>
            <w:pPr>
              <w:pStyle w:val="TableParagraph"/>
              <w:spacing w:before="30"/>
              <w:ind w:right="55"/>
              <w:rPr>
                <w:sz w:val="16"/>
              </w:rPr>
            </w:pPr>
            <w:r>
              <w:rPr>
                <w:w w:val="101"/>
                <w:sz w:val="16"/>
              </w:rPr>
              <w:t>-</w:t>
            </w:r>
          </w:p>
        </w:tc>
      </w:tr>
      <w:tr>
        <w:trPr>
          <w:trHeight w:val="252" w:hRule="atLeast"/>
        </w:trPr>
        <w:tc>
          <w:tcPr>
            <w:tcW w:w="5387" w:type="dxa"/>
          </w:tcPr>
          <w:p>
            <w:pPr>
              <w:pStyle w:val="TableParagraph"/>
              <w:spacing w:before="31"/>
              <w:ind w:left="73"/>
              <w:jc w:val="left"/>
              <w:rPr>
                <w:b/>
                <w:sz w:val="16"/>
              </w:rPr>
            </w:pPr>
            <w:r>
              <w:rPr>
                <w:b/>
                <w:sz w:val="16"/>
              </w:rPr>
              <w:t>J) CORRECCIONES DE VALOR POR DETERIORO, SALDO FINAL EJERCICIO 2023</w:t>
            </w:r>
          </w:p>
        </w:tc>
        <w:tc>
          <w:tcPr>
            <w:tcW w:w="1277" w:type="dxa"/>
          </w:tcPr>
          <w:p>
            <w:pPr>
              <w:pStyle w:val="TableParagraph"/>
              <w:spacing w:before="31"/>
              <w:ind w:right="55"/>
              <w:rPr>
                <w:b/>
                <w:sz w:val="16"/>
              </w:rPr>
            </w:pPr>
            <w:r>
              <w:rPr>
                <w:b/>
                <w:w w:val="101"/>
                <w:sz w:val="16"/>
              </w:rPr>
              <w:t>-</w:t>
            </w:r>
          </w:p>
        </w:tc>
        <w:tc>
          <w:tcPr>
            <w:tcW w:w="1235" w:type="dxa"/>
          </w:tcPr>
          <w:p>
            <w:pPr>
              <w:pStyle w:val="TableParagraph"/>
              <w:spacing w:before="31"/>
              <w:ind w:right="55"/>
              <w:rPr>
                <w:b/>
                <w:sz w:val="16"/>
              </w:rPr>
            </w:pPr>
            <w:r>
              <w:rPr>
                <w:b/>
                <w:w w:val="101"/>
                <w:sz w:val="16"/>
              </w:rPr>
              <w:t>-</w:t>
            </w:r>
          </w:p>
        </w:tc>
        <w:tc>
          <w:tcPr>
            <w:tcW w:w="1178" w:type="dxa"/>
          </w:tcPr>
          <w:p>
            <w:pPr>
              <w:pStyle w:val="TableParagraph"/>
              <w:spacing w:before="31"/>
              <w:ind w:right="55"/>
              <w:rPr>
                <w:b/>
                <w:sz w:val="16"/>
              </w:rPr>
            </w:pPr>
            <w:r>
              <w:rPr>
                <w:b/>
                <w:w w:val="101"/>
                <w:sz w:val="16"/>
              </w:rPr>
              <w:t>-</w:t>
            </w:r>
          </w:p>
        </w:tc>
      </w:tr>
      <w:tr>
        <w:trPr>
          <w:trHeight w:val="259" w:hRule="atLeast"/>
        </w:trPr>
        <w:tc>
          <w:tcPr>
            <w:tcW w:w="5387" w:type="dxa"/>
          </w:tcPr>
          <w:p>
            <w:pPr>
              <w:pStyle w:val="TableParagraph"/>
              <w:spacing w:before="37"/>
              <w:ind w:left="73"/>
              <w:jc w:val="left"/>
              <w:rPr>
                <w:b/>
                <w:sz w:val="16"/>
              </w:rPr>
            </w:pPr>
            <w:r>
              <w:rPr>
                <w:b/>
                <w:sz w:val="16"/>
              </w:rPr>
              <w:t>M) VALOR NETO CONTABLE FINAL EJERCICIO 2023</w:t>
            </w:r>
          </w:p>
        </w:tc>
        <w:tc>
          <w:tcPr>
            <w:tcW w:w="1277" w:type="dxa"/>
          </w:tcPr>
          <w:p>
            <w:pPr>
              <w:pStyle w:val="TableParagraph"/>
              <w:spacing w:before="37"/>
              <w:ind w:right="55"/>
              <w:rPr>
                <w:b/>
                <w:sz w:val="16"/>
              </w:rPr>
            </w:pPr>
            <w:r>
              <w:rPr>
                <w:b/>
                <w:w w:val="101"/>
                <w:sz w:val="16"/>
              </w:rPr>
              <w:t>-</w:t>
            </w:r>
          </w:p>
        </w:tc>
        <w:tc>
          <w:tcPr>
            <w:tcW w:w="1235" w:type="dxa"/>
          </w:tcPr>
          <w:p>
            <w:pPr>
              <w:pStyle w:val="TableParagraph"/>
              <w:spacing w:before="37"/>
              <w:ind w:right="52"/>
              <w:rPr>
                <w:b/>
                <w:sz w:val="16"/>
              </w:rPr>
            </w:pPr>
            <w:r>
              <w:rPr>
                <w:b/>
                <w:sz w:val="16"/>
              </w:rPr>
              <w:t>8.922,80</w:t>
            </w:r>
          </w:p>
        </w:tc>
        <w:tc>
          <w:tcPr>
            <w:tcW w:w="1178" w:type="dxa"/>
          </w:tcPr>
          <w:p>
            <w:pPr>
              <w:pStyle w:val="TableParagraph"/>
              <w:spacing w:before="37"/>
              <w:ind w:right="52"/>
              <w:rPr>
                <w:b/>
                <w:sz w:val="16"/>
              </w:rPr>
            </w:pPr>
            <w:r>
              <w:rPr>
                <w:b/>
                <w:sz w:val="16"/>
              </w:rPr>
              <w:t>8.922,80</w:t>
            </w:r>
          </w:p>
        </w:tc>
      </w:tr>
    </w:tbl>
    <w:p>
      <w:pPr>
        <w:pStyle w:val="BodyText"/>
        <w:spacing w:before="5"/>
        <w:rPr>
          <w:b/>
          <w:sz w:val="13"/>
        </w:rPr>
      </w:pPr>
    </w:p>
    <w:p>
      <w:pPr>
        <w:pStyle w:val="BodyText"/>
        <w:ind w:left="403"/>
      </w:pPr>
      <w:r>
        <w:rPr>
          <w:w w:val="105"/>
        </w:rPr>
        <w:t>En el ejercicio 2024 y 2023 las altas de inmovilizado material corresponden a equipos informáticos.</w:t>
      </w:r>
    </w:p>
    <w:p>
      <w:pPr>
        <w:pStyle w:val="BodyText"/>
        <w:spacing w:before="5"/>
        <w:rPr>
          <w:sz w:val="14"/>
        </w:rPr>
      </w:pPr>
    </w:p>
    <w:p>
      <w:pPr>
        <w:pStyle w:val="BodyText"/>
        <w:spacing w:line="302" w:lineRule="auto" w:before="1"/>
        <w:ind w:left="403" w:right="483"/>
      </w:pPr>
      <w:r>
        <w:rPr>
          <w:w w:val="105"/>
        </w:rPr>
        <w:t>Las bajas del ejercicio 2023 correspondieron a la devolución de </w:t>
      </w:r>
      <w:r>
        <w:rPr>
          <w:spacing w:val="2"/>
          <w:w w:val="105"/>
        </w:rPr>
        <w:t>un </w:t>
      </w:r>
      <w:r>
        <w:rPr>
          <w:w w:val="105"/>
        </w:rPr>
        <w:t>equipo adquirido en 2022 que no había entrado en</w:t>
      </w:r>
      <w:r>
        <w:rPr>
          <w:spacing w:val="1"/>
          <w:w w:val="105"/>
        </w:rPr>
        <w:t> </w:t>
      </w:r>
      <w:r>
        <w:rPr>
          <w:w w:val="105"/>
        </w:rPr>
        <w:t>funcionamiento.</w:t>
      </w:r>
    </w:p>
    <w:p>
      <w:pPr>
        <w:spacing w:after="0" w:line="302" w:lineRule="auto"/>
        <w:sectPr>
          <w:pgSz w:w="11920" w:h="16850"/>
          <w:pgMar w:header="735" w:footer="891" w:top="1600" w:bottom="1080" w:left="1300" w:right="1300"/>
        </w:sectPr>
      </w:pPr>
    </w:p>
    <w:p>
      <w:pPr>
        <w:pStyle w:val="BodyText"/>
        <w:spacing w:before="154"/>
        <w:ind w:left="403"/>
      </w:pPr>
      <w:r>
        <w:rPr>
          <w:w w:val="105"/>
        </w:rPr>
        <w:t>Los elementos totalmente amortizados en el ejercicio 2024 y 2023 son los siguientes:</w:t>
      </w:r>
    </w:p>
    <w:p>
      <w:pPr>
        <w:pStyle w:val="BodyText"/>
        <w:spacing w:before="7"/>
        <w:rPr>
          <w:sz w:val="9"/>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61"/>
        <w:gridCol w:w="1796"/>
        <w:gridCol w:w="1796"/>
      </w:tblGrid>
      <w:tr>
        <w:trPr>
          <w:trHeight w:val="288" w:hRule="atLeast"/>
        </w:trPr>
        <w:tc>
          <w:tcPr>
            <w:tcW w:w="5061" w:type="dxa"/>
            <w:shd w:val="clear" w:color="auto" w:fill="D9D9D9"/>
          </w:tcPr>
          <w:p>
            <w:pPr>
              <w:pStyle w:val="TableParagraph"/>
              <w:spacing w:before="0"/>
              <w:jc w:val="left"/>
              <w:rPr>
                <w:rFonts w:ascii="Times New Roman"/>
                <w:sz w:val="16"/>
              </w:rPr>
            </w:pPr>
          </w:p>
        </w:tc>
        <w:tc>
          <w:tcPr>
            <w:tcW w:w="1796" w:type="dxa"/>
            <w:shd w:val="clear" w:color="auto" w:fill="D9D9D9"/>
          </w:tcPr>
          <w:p>
            <w:pPr>
              <w:pStyle w:val="TableParagraph"/>
              <w:spacing w:line="173" w:lineRule="exact" w:before="94"/>
              <w:ind w:left="505"/>
              <w:jc w:val="left"/>
              <w:rPr>
                <w:b/>
                <w:sz w:val="16"/>
              </w:rPr>
            </w:pPr>
            <w:r>
              <w:rPr>
                <w:b/>
                <w:sz w:val="16"/>
              </w:rPr>
              <w:t>31/12/2024</w:t>
            </w:r>
          </w:p>
        </w:tc>
        <w:tc>
          <w:tcPr>
            <w:tcW w:w="1796" w:type="dxa"/>
            <w:shd w:val="clear" w:color="auto" w:fill="D9D9D9"/>
          </w:tcPr>
          <w:p>
            <w:pPr>
              <w:pStyle w:val="TableParagraph"/>
              <w:spacing w:line="173" w:lineRule="exact" w:before="94"/>
              <w:ind w:left="505"/>
              <w:jc w:val="left"/>
              <w:rPr>
                <w:b/>
                <w:sz w:val="16"/>
              </w:rPr>
            </w:pPr>
            <w:r>
              <w:rPr>
                <w:b/>
                <w:sz w:val="16"/>
              </w:rPr>
              <w:t>31/12/2023</w:t>
            </w:r>
          </w:p>
        </w:tc>
      </w:tr>
      <w:tr>
        <w:trPr>
          <w:trHeight w:val="280" w:hRule="atLeast"/>
        </w:trPr>
        <w:tc>
          <w:tcPr>
            <w:tcW w:w="5061" w:type="dxa"/>
          </w:tcPr>
          <w:p>
            <w:pPr>
              <w:pStyle w:val="TableParagraph"/>
              <w:ind w:left="73"/>
              <w:jc w:val="left"/>
              <w:rPr>
                <w:sz w:val="16"/>
              </w:rPr>
            </w:pPr>
            <w:r>
              <w:rPr>
                <w:sz w:val="16"/>
              </w:rPr>
              <w:t>Aplicaciones informáticas</w:t>
            </w:r>
          </w:p>
        </w:tc>
        <w:tc>
          <w:tcPr>
            <w:tcW w:w="1796" w:type="dxa"/>
          </w:tcPr>
          <w:p>
            <w:pPr>
              <w:pStyle w:val="TableParagraph"/>
              <w:ind w:right="244"/>
              <w:rPr>
                <w:sz w:val="16"/>
              </w:rPr>
            </w:pPr>
            <w:r>
              <w:rPr>
                <w:sz w:val="16"/>
              </w:rPr>
              <w:t>244,95</w:t>
            </w:r>
          </w:p>
        </w:tc>
        <w:tc>
          <w:tcPr>
            <w:tcW w:w="1796" w:type="dxa"/>
          </w:tcPr>
          <w:p>
            <w:pPr>
              <w:pStyle w:val="TableParagraph"/>
              <w:ind w:right="245"/>
              <w:rPr>
                <w:sz w:val="16"/>
              </w:rPr>
            </w:pPr>
            <w:r>
              <w:rPr>
                <w:sz w:val="16"/>
              </w:rPr>
              <w:t>244,95</w:t>
            </w:r>
          </w:p>
        </w:tc>
      </w:tr>
      <w:tr>
        <w:trPr>
          <w:trHeight w:val="281" w:hRule="atLeast"/>
        </w:trPr>
        <w:tc>
          <w:tcPr>
            <w:tcW w:w="5061" w:type="dxa"/>
          </w:tcPr>
          <w:p>
            <w:pPr>
              <w:pStyle w:val="TableParagraph"/>
              <w:ind w:left="73"/>
              <w:jc w:val="left"/>
              <w:rPr>
                <w:sz w:val="16"/>
              </w:rPr>
            </w:pPr>
            <w:r>
              <w:rPr>
                <w:sz w:val="16"/>
              </w:rPr>
              <w:t>Instalaciones técnicas</w:t>
            </w:r>
          </w:p>
        </w:tc>
        <w:tc>
          <w:tcPr>
            <w:tcW w:w="1796" w:type="dxa"/>
          </w:tcPr>
          <w:p>
            <w:pPr>
              <w:pStyle w:val="TableParagraph"/>
              <w:ind w:right="245"/>
              <w:rPr>
                <w:sz w:val="16"/>
              </w:rPr>
            </w:pPr>
            <w:r>
              <w:rPr>
                <w:sz w:val="16"/>
              </w:rPr>
              <w:t>1.479,98</w:t>
            </w:r>
          </w:p>
        </w:tc>
        <w:tc>
          <w:tcPr>
            <w:tcW w:w="1796" w:type="dxa"/>
          </w:tcPr>
          <w:p>
            <w:pPr>
              <w:pStyle w:val="TableParagraph"/>
              <w:ind w:right="245"/>
              <w:rPr>
                <w:sz w:val="16"/>
              </w:rPr>
            </w:pPr>
            <w:r>
              <w:rPr>
                <w:sz w:val="16"/>
              </w:rPr>
              <w:t>1.479,98</w:t>
            </w:r>
          </w:p>
        </w:tc>
      </w:tr>
      <w:tr>
        <w:trPr>
          <w:trHeight w:val="287" w:hRule="atLeast"/>
        </w:trPr>
        <w:tc>
          <w:tcPr>
            <w:tcW w:w="5061" w:type="dxa"/>
          </w:tcPr>
          <w:p>
            <w:pPr>
              <w:pStyle w:val="TableParagraph"/>
              <w:ind w:left="73"/>
              <w:jc w:val="left"/>
              <w:rPr>
                <w:sz w:val="16"/>
              </w:rPr>
            </w:pPr>
            <w:r>
              <w:rPr>
                <w:sz w:val="16"/>
              </w:rPr>
              <w:t>Mobiliario</w:t>
            </w:r>
          </w:p>
        </w:tc>
        <w:tc>
          <w:tcPr>
            <w:tcW w:w="1796" w:type="dxa"/>
          </w:tcPr>
          <w:p>
            <w:pPr>
              <w:pStyle w:val="TableParagraph"/>
              <w:ind w:right="245"/>
              <w:rPr>
                <w:sz w:val="16"/>
              </w:rPr>
            </w:pPr>
            <w:r>
              <w:rPr>
                <w:sz w:val="16"/>
              </w:rPr>
              <w:t>4.778,48</w:t>
            </w:r>
          </w:p>
        </w:tc>
        <w:tc>
          <w:tcPr>
            <w:tcW w:w="1796" w:type="dxa"/>
          </w:tcPr>
          <w:p>
            <w:pPr>
              <w:pStyle w:val="TableParagraph"/>
              <w:ind w:right="245"/>
              <w:rPr>
                <w:sz w:val="16"/>
              </w:rPr>
            </w:pPr>
            <w:r>
              <w:rPr>
                <w:sz w:val="16"/>
              </w:rPr>
              <w:t>4.778,48</w:t>
            </w:r>
          </w:p>
        </w:tc>
      </w:tr>
      <w:tr>
        <w:trPr>
          <w:trHeight w:val="280" w:hRule="atLeast"/>
        </w:trPr>
        <w:tc>
          <w:tcPr>
            <w:tcW w:w="5061" w:type="dxa"/>
          </w:tcPr>
          <w:p>
            <w:pPr>
              <w:pStyle w:val="TableParagraph"/>
              <w:ind w:left="73"/>
              <w:jc w:val="left"/>
              <w:rPr>
                <w:sz w:val="16"/>
              </w:rPr>
            </w:pPr>
            <w:r>
              <w:rPr>
                <w:sz w:val="16"/>
              </w:rPr>
              <w:t>Equipos para procesos de información</w:t>
            </w:r>
          </w:p>
        </w:tc>
        <w:tc>
          <w:tcPr>
            <w:tcW w:w="1796" w:type="dxa"/>
          </w:tcPr>
          <w:p>
            <w:pPr>
              <w:pStyle w:val="TableParagraph"/>
              <w:ind w:right="245"/>
              <w:rPr>
                <w:sz w:val="16"/>
              </w:rPr>
            </w:pPr>
            <w:r>
              <w:rPr>
                <w:sz w:val="16"/>
              </w:rPr>
              <w:t>1.205,00</w:t>
            </w:r>
          </w:p>
        </w:tc>
        <w:tc>
          <w:tcPr>
            <w:tcW w:w="1796" w:type="dxa"/>
          </w:tcPr>
          <w:p>
            <w:pPr>
              <w:pStyle w:val="TableParagraph"/>
              <w:ind w:right="248"/>
              <w:rPr>
                <w:sz w:val="16"/>
              </w:rPr>
            </w:pPr>
            <w:r>
              <w:rPr>
                <w:w w:val="101"/>
                <w:sz w:val="16"/>
              </w:rPr>
              <w:t>-</w:t>
            </w:r>
          </w:p>
        </w:tc>
      </w:tr>
      <w:tr>
        <w:trPr>
          <w:trHeight w:val="280" w:hRule="atLeast"/>
        </w:trPr>
        <w:tc>
          <w:tcPr>
            <w:tcW w:w="5061" w:type="dxa"/>
          </w:tcPr>
          <w:p>
            <w:pPr>
              <w:pStyle w:val="TableParagraph"/>
              <w:ind w:left="73"/>
              <w:jc w:val="left"/>
              <w:rPr>
                <w:sz w:val="16"/>
              </w:rPr>
            </w:pPr>
            <w:r>
              <w:rPr>
                <w:sz w:val="16"/>
              </w:rPr>
              <w:t>Elementos de transporte</w:t>
            </w:r>
          </w:p>
        </w:tc>
        <w:tc>
          <w:tcPr>
            <w:tcW w:w="1796" w:type="dxa"/>
          </w:tcPr>
          <w:p>
            <w:pPr>
              <w:pStyle w:val="TableParagraph"/>
              <w:ind w:right="245"/>
              <w:rPr>
                <w:sz w:val="16"/>
              </w:rPr>
            </w:pPr>
            <w:r>
              <w:rPr>
                <w:sz w:val="16"/>
              </w:rPr>
              <w:t>17.762,50</w:t>
            </w:r>
          </w:p>
        </w:tc>
        <w:tc>
          <w:tcPr>
            <w:tcW w:w="1796" w:type="dxa"/>
          </w:tcPr>
          <w:p>
            <w:pPr>
              <w:pStyle w:val="TableParagraph"/>
              <w:ind w:right="245"/>
              <w:rPr>
                <w:sz w:val="16"/>
              </w:rPr>
            </w:pPr>
            <w:r>
              <w:rPr>
                <w:sz w:val="16"/>
              </w:rPr>
              <w:t>17.762,50</w:t>
            </w:r>
          </w:p>
        </w:tc>
      </w:tr>
      <w:tr>
        <w:trPr>
          <w:trHeight w:val="281" w:hRule="atLeast"/>
        </w:trPr>
        <w:tc>
          <w:tcPr>
            <w:tcW w:w="5061" w:type="dxa"/>
          </w:tcPr>
          <w:p>
            <w:pPr>
              <w:pStyle w:val="TableParagraph"/>
              <w:ind w:left="73"/>
              <w:jc w:val="left"/>
              <w:rPr>
                <w:sz w:val="16"/>
              </w:rPr>
            </w:pPr>
            <w:r>
              <w:rPr>
                <w:sz w:val="16"/>
              </w:rPr>
              <w:t>Otro inmovilizado material</w:t>
            </w:r>
          </w:p>
        </w:tc>
        <w:tc>
          <w:tcPr>
            <w:tcW w:w="1796" w:type="dxa"/>
          </w:tcPr>
          <w:p>
            <w:pPr>
              <w:pStyle w:val="TableParagraph"/>
              <w:ind w:right="245"/>
              <w:rPr>
                <w:sz w:val="16"/>
              </w:rPr>
            </w:pPr>
            <w:r>
              <w:rPr>
                <w:sz w:val="16"/>
              </w:rPr>
              <w:t>54.813,29</w:t>
            </w:r>
          </w:p>
        </w:tc>
        <w:tc>
          <w:tcPr>
            <w:tcW w:w="1796" w:type="dxa"/>
          </w:tcPr>
          <w:p>
            <w:pPr>
              <w:pStyle w:val="TableParagraph"/>
              <w:ind w:right="245"/>
              <w:rPr>
                <w:sz w:val="16"/>
              </w:rPr>
            </w:pPr>
            <w:r>
              <w:rPr>
                <w:sz w:val="16"/>
              </w:rPr>
              <w:t>54.813,29</w:t>
            </w:r>
          </w:p>
        </w:tc>
      </w:tr>
      <w:tr>
        <w:trPr>
          <w:trHeight w:val="288" w:hRule="atLeast"/>
        </w:trPr>
        <w:tc>
          <w:tcPr>
            <w:tcW w:w="5061" w:type="dxa"/>
          </w:tcPr>
          <w:p>
            <w:pPr>
              <w:pStyle w:val="TableParagraph"/>
              <w:spacing w:before="52"/>
              <w:ind w:left="108"/>
              <w:jc w:val="left"/>
              <w:rPr>
                <w:b/>
                <w:sz w:val="16"/>
              </w:rPr>
            </w:pPr>
            <w:r>
              <w:rPr>
                <w:b/>
                <w:sz w:val="16"/>
              </w:rPr>
              <w:t>Totales</w:t>
            </w:r>
          </w:p>
        </w:tc>
        <w:tc>
          <w:tcPr>
            <w:tcW w:w="1796" w:type="dxa"/>
          </w:tcPr>
          <w:p>
            <w:pPr>
              <w:pStyle w:val="TableParagraph"/>
              <w:spacing w:before="52"/>
              <w:ind w:right="245"/>
              <w:rPr>
                <w:b/>
                <w:sz w:val="16"/>
              </w:rPr>
            </w:pPr>
            <w:r>
              <w:rPr>
                <w:b/>
                <w:sz w:val="16"/>
              </w:rPr>
              <w:t>80.284,20</w:t>
            </w:r>
          </w:p>
        </w:tc>
        <w:tc>
          <w:tcPr>
            <w:tcW w:w="1796" w:type="dxa"/>
          </w:tcPr>
          <w:p>
            <w:pPr>
              <w:pStyle w:val="TableParagraph"/>
              <w:spacing w:before="52"/>
              <w:ind w:right="245"/>
              <w:rPr>
                <w:b/>
                <w:sz w:val="16"/>
              </w:rPr>
            </w:pPr>
            <w:r>
              <w:rPr>
                <w:b/>
                <w:sz w:val="16"/>
              </w:rPr>
              <w:t>78.778,20</w:t>
            </w:r>
          </w:p>
        </w:tc>
      </w:tr>
    </w:tbl>
    <w:p>
      <w:pPr>
        <w:pStyle w:val="BodyText"/>
        <w:spacing w:before="5"/>
        <w:rPr>
          <w:sz w:val="13"/>
        </w:rPr>
      </w:pPr>
    </w:p>
    <w:p>
      <w:pPr>
        <w:pStyle w:val="BodyText"/>
        <w:spacing w:line="451" w:lineRule="auto"/>
        <w:ind w:left="403" w:right="1073"/>
      </w:pPr>
      <w:r>
        <w:rPr>
          <w:w w:val="105"/>
        </w:rPr>
        <w:t>La Sociedad no tiene inversiones inmobiliarias, locales ni otros activos inmobiliarios arrendados a terceros. Al 31 de diciembre de 2024 y 2023, la Sociedad no tiene bienes en régimen de arrendamiento financiero.</w:t>
      </w:r>
    </w:p>
    <w:p>
      <w:pPr>
        <w:pStyle w:val="Heading1"/>
        <w:numPr>
          <w:ilvl w:val="0"/>
          <w:numId w:val="1"/>
        </w:numPr>
        <w:tabs>
          <w:tab w:pos="971" w:val="left" w:leader="none"/>
          <w:tab w:pos="972" w:val="left" w:leader="none"/>
        </w:tabs>
        <w:spacing w:line="240" w:lineRule="auto" w:before="55" w:after="0"/>
        <w:ind w:left="971" w:right="0" w:hanging="569"/>
        <w:jc w:val="left"/>
      </w:pPr>
      <w:r>
        <w:rPr/>
        <w:t>Activos</w:t>
      </w:r>
      <w:r>
        <w:rPr>
          <w:spacing w:val="4"/>
        </w:rPr>
        <w:t> </w:t>
      </w:r>
      <w:r>
        <w:rPr/>
        <w:t>financieros.</w:t>
      </w:r>
    </w:p>
    <w:p>
      <w:pPr>
        <w:pStyle w:val="Heading4"/>
        <w:numPr>
          <w:ilvl w:val="0"/>
          <w:numId w:val="8"/>
        </w:numPr>
        <w:tabs>
          <w:tab w:pos="595" w:val="left" w:leader="none"/>
        </w:tabs>
        <w:spacing w:line="240" w:lineRule="auto" w:before="164" w:after="0"/>
        <w:ind w:left="594" w:right="0" w:hanging="192"/>
        <w:jc w:val="left"/>
        <w:rPr>
          <w:i/>
        </w:rPr>
      </w:pPr>
      <w:r>
        <w:rPr>
          <w:i/>
          <w:w w:val="105"/>
        </w:rPr>
        <w:t>Activos financieros no</w:t>
      </w:r>
      <w:r>
        <w:rPr>
          <w:i/>
          <w:spacing w:val="10"/>
          <w:w w:val="105"/>
        </w:rPr>
        <w:t> </w:t>
      </w:r>
      <w:r>
        <w:rPr>
          <w:i/>
          <w:w w:val="105"/>
        </w:rPr>
        <w:t>corrientes.</w:t>
      </w:r>
    </w:p>
    <w:p>
      <w:pPr>
        <w:pStyle w:val="BodyText"/>
        <w:spacing w:before="126"/>
        <w:ind w:left="403"/>
      </w:pPr>
      <w:r>
        <w:rPr>
          <w:w w:val="105"/>
        </w:rPr>
        <w:t>En el ejercicio 2024 y 2023 no se han registrado movimientos en las partidas de activos financieros no corrientes.</w:t>
      </w:r>
    </w:p>
    <w:p>
      <w:pPr>
        <w:pStyle w:val="BodyText"/>
        <w:spacing w:before="8"/>
        <w:rPr>
          <w:sz w:val="23"/>
        </w:rPr>
      </w:pPr>
    </w:p>
    <w:p>
      <w:pPr>
        <w:pStyle w:val="Heading4"/>
        <w:numPr>
          <w:ilvl w:val="0"/>
          <w:numId w:val="8"/>
        </w:numPr>
        <w:tabs>
          <w:tab w:pos="595" w:val="left" w:leader="none"/>
        </w:tabs>
        <w:spacing w:line="240" w:lineRule="auto" w:before="0" w:after="0"/>
        <w:ind w:left="594" w:right="0" w:hanging="192"/>
        <w:jc w:val="left"/>
        <w:rPr>
          <w:i/>
        </w:rPr>
      </w:pPr>
      <w:r>
        <w:rPr>
          <w:i/>
          <w:w w:val="105"/>
        </w:rPr>
        <w:t>Activos financieros</w:t>
      </w:r>
      <w:r>
        <w:rPr>
          <w:i/>
          <w:spacing w:val="4"/>
          <w:w w:val="105"/>
        </w:rPr>
        <w:t> </w:t>
      </w:r>
      <w:r>
        <w:rPr>
          <w:i/>
          <w:w w:val="105"/>
        </w:rPr>
        <w:t>corrientes</w:t>
      </w:r>
    </w:p>
    <w:p>
      <w:pPr>
        <w:pStyle w:val="BodyText"/>
        <w:spacing w:before="140"/>
        <w:ind w:left="403"/>
      </w:pPr>
      <w:r>
        <w:rPr>
          <w:w w:val="105"/>
        </w:rPr>
        <w:t>El detalle de activos financieros a corto plazo a 31 de diciembre de 2024 y 2023 es el siguiente:</w:t>
      </w:r>
    </w:p>
    <w:p>
      <w:pPr>
        <w:pStyle w:val="BodyText"/>
        <w:spacing w:before="8"/>
        <w:rPr>
          <w:sz w:val="9"/>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45"/>
        <w:gridCol w:w="1654"/>
        <w:gridCol w:w="1654"/>
      </w:tblGrid>
      <w:tr>
        <w:trPr>
          <w:trHeight w:val="231" w:hRule="atLeast"/>
        </w:trPr>
        <w:tc>
          <w:tcPr>
            <w:tcW w:w="5345" w:type="dxa"/>
            <w:vMerge w:val="restart"/>
            <w:shd w:val="clear" w:color="auto" w:fill="D9D9D9"/>
          </w:tcPr>
          <w:p>
            <w:pPr>
              <w:pStyle w:val="TableParagraph"/>
              <w:spacing w:before="0"/>
              <w:jc w:val="left"/>
              <w:rPr>
                <w:rFonts w:ascii="Times New Roman"/>
                <w:sz w:val="16"/>
              </w:rPr>
            </w:pPr>
          </w:p>
        </w:tc>
        <w:tc>
          <w:tcPr>
            <w:tcW w:w="1654" w:type="dxa"/>
            <w:shd w:val="clear" w:color="auto" w:fill="D9D9D9"/>
          </w:tcPr>
          <w:p>
            <w:pPr>
              <w:pStyle w:val="TableParagraph"/>
              <w:spacing w:line="188" w:lineRule="exact" w:before="24"/>
              <w:ind w:left="285"/>
              <w:jc w:val="left"/>
              <w:rPr>
                <w:b/>
                <w:sz w:val="16"/>
              </w:rPr>
            </w:pPr>
            <w:r>
              <w:rPr>
                <w:b/>
                <w:sz w:val="16"/>
              </w:rPr>
              <w:t>Créditos y Otros</w:t>
            </w:r>
          </w:p>
        </w:tc>
        <w:tc>
          <w:tcPr>
            <w:tcW w:w="1654" w:type="dxa"/>
            <w:shd w:val="clear" w:color="auto" w:fill="D9D9D9"/>
          </w:tcPr>
          <w:p>
            <w:pPr>
              <w:pStyle w:val="TableParagraph"/>
              <w:spacing w:line="188" w:lineRule="exact" w:before="24"/>
              <w:ind w:left="285"/>
              <w:jc w:val="left"/>
              <w:rPr>
                <w:b/>
                <w:sz w:val="16"/>
              </w:rPr>
            </w:pPr>
            <w:r>
              <w:rPr>
                <w:b/>
                <w:sz w:val="16"/>
              </w:rPr>
              <w:t>Créditos y Otros</w:t>
            </w:r>
          </w:p>
        </w:tc>
      </w:tr>
      <w:tr>
        <w:trPr>
          <w:trHeight w:val="224" w:hRule="atLeast"/>
        </w:trPr>
        <w:tc>
          <w:tcPr>
            <w:tcW w:w="5345" w:type="dxa"/>
            <w:vMerge/>
            <w:tcBorders>
              <w:top w:val="nil"/>
            </w:tcBorders>
            <w:shd w:val="clear" w:color="auto" w:fill="D9D9D9"/>
          </w:tcPr>
          <w:p>
            <w:pPr>
              <w:rPr>
                <w:sz w:val="2"/>
                <w:szCs w:val="2"/>
              </w:rPr>
            </w:pPr>
          </w:p>
        </w:tc>
        <w:tc>
          <w:tcPr>
            <w:tcW w:w="1654" w:type="dxa"/>
            <w:shd w:val="clear" w:color="auto" w:fill="D9D9D9"/>
          </w:tcPr>
          <w:p>
            <w:pPr>
              <w:pStyle w:val="TableParagraph"/>
              <w:spacing w:line="188" w:lineRule="exact" w:before="16"/>
              <w:ind w:left="427"/>
              <w:jc w:val="left"/>
              <w:rPr>
                <w:b/>
                <w:sz w:val="16"/>
              </w:rPr>
            </w:pPr>
            <w:r>
              <w:rPr>
                <w:b/>
                <w:sz w:val="16"/>
              </w:rPr>
              <w:t>31/12/2024</w:t>
            </w:r>
          </w:p>
        </w:tc>
        <w:tc>
          <w:tcPr>
            <w:tcW w:w="1654" w:type="dxa"/>
            <w:shd w:val="clear" w:color="auto" w:fill="D9D9D9"/>
          </w:tcPr>
          <w:p>
            <w:pPr>
              <w:pStyle w:val="TableParagraph"/>
              <w:spacing w:line="188" w:lineRule="exact" w:before="16"/>
              <w:ind w:left="427"/>
              <w:jc w:val="left"/>
              <w:rPr>
                <w:b/>
                <w:sz w:val="16"/>
              </w:rPr>
            </w:pPr>
            <w:r>
              <w:rPr>
                <w:b/>
                <w:sz w:val="16"/>
              </w:rPr>
              <w:t>31/12/2023</w:t>
            </w:r>
          </w:p>
        </w:tc>
      </w:tr>
      <w:tr>
        <w:trPr>
          <w:trHeight w:val="287" w:hRule="atLeast"/>
        </w:trPr>
        <w:tc>
          <w:tcPr>
            <w:tcW w:w="5345" w:type="dxa"/>
          </w:tcPr>
          <w:p>
            <w:pPr>
              <w:pStyle w:val="TableParagraph"/>
              <w:ind w:left="73"/>
              <w:jc w:val="left"/>
              <w:rPr>
                <w:b/>
                <w:sz w:val="16"/>
              </w:rPr>
            </w:pPr>
            <w:r>
              <w:rPr>
                <w:b/>
                <w:sz w:val="16"/>
              </w:rPr>
              <w:t>Activos financieros a coste amortizado</w:t>
            </w:r>
          </w:p>
        </w:tc>
        <w:tc>
          <w:tcPr>
            <w:tcW w:w="1654" w:type="dxa"/>
          </w:tcPr>
          <w:p>
            <w:pPr>
              <w:pStyle w:val="TableParagraph"/>
              <w:ind w:right="53"/>
              <w:rPr>
                <w:sz w:val="16"/>
              </w:rPr>
            </w:pPr>
            <w:r>
              <w:rPr>
                <w:sz w:val="16"/>
              </w:rPr>
              <w:t>6.905,10</w:t>
            </w:r>
          </w:p>
        </w:tc>
        <w:tc>
          <w:tcPr>
            <w:tcW w:w="1654" w:type="dxa"/>
          </w:tcPr>
          <w:p>
            <w:pPr>
              <w:pStyle w:val="TableParagraph"/>
              <w:ind w:right="61"/>
              <w:rPr>
                <w:sz w:val="16"/>
              </w:rPr>
            </w:pPr>
            <w:r>
              <w:rPr>
                <w:sz w:val="16"/>
              </w:rPr>
              <w:t>5.905,86</w:t>
            </w:r>
          </w:p>
        </w:tc>
      </w:tr>
      <w:tr>
        <w:trPr>
          <w:trHeight w:val="280" w:hRule="atLeast"/>
        </w:trPr>
        <w:tc>
          <w:tcPr>
            <w:tcW w:w="5345" w:type="dxa"/>
          </w:tcPr>
          <w:p>
            <w:pPr>
              <w:pStyle w:val="TableParagraph"/>
              <w:ind w:left="73"/>
              <w:jc w:val="left"/>
              <w:rPr>
                <w:b/>
                <w:sz w:val="16"/>
              </w:rPr>
            </w:pPr>
            <w:r>
              <w:rPr>
                <w:b/>
                <w:sz w:val="16"/>
              </w:rPr>
              <w:t>Activos a valor razonable con cambios en pérdidas y ganancias:</w:t>
            </w:r>
          </w:p>
        </w:tc>
        <w:tc>
          <w:tcPr>
            <w:tcW w:w="1654" w:type="dxa"/>
          </w:tcPr>
          <w:p>
            <w:pPr>
              <w:pStyle w:val="TableParagraph"/>
              <w:spacing w:before="0"/>
              <w:jc w:val="left"/>
              <w:rPr>
                <w:rFonts w:ascii="Times New Roman"/>
                <w:sz w:val="16"/>
              </w:rPr>
            </w:pPr>
          </w:p>
        </w:tc>
        <w:tc>
          <w:tcPr>
            <w:tcW w:w="1654" w:type="dxa"/>
          </w:tcPr>
          <w:p>
            <w:pPr>
              <w:pStyle w:val="TableParagraph"/>
              <w:spacing w:before="0"/>
              <w:jc w:val="left"/>
              <w:rPr>
                <w:rFonts w:ascii="Times New Roman"/>
                <w:sz w:val="16"/>
              </w:rPr>
            </w:pPr>
          </w:p>
        </w:tc>
      </w:tr>
      <w:tr>
        <w:trPr>
          <w:trHeight w:val="281" w:hRule="atLeast"/>
        </w:trPr>
        <w:tc>
          <w:tcPr>
            <w:tcW w:w="5345" w:type="dxa"/>
          </w:tcPr>
          <w:p>
            <w:pPr>
              <w:pStyle w:val="TableParagraph"/>
              <w:ind w:left="73"/>
              <w:jc w:val="left"/>
              <w:rPr>
                <w:sz w:val="16"/>
              </w:rPr>
            </w:pPr>
            <w:r>
              <w:rPr>
                <w:sz w:val="16"/>
              </w:rPr>
              <w:t>Efectivo y otros activos líquidos</w:t>
            </w:r>
          </w:p>
        </w:tc>
        <w:tc>
          <w:tcPr>
            <w:tcW w:w="1654" w:type="dxa"/>
          </w:tcPr>
          <w:p>
            <w:pPr>
              <w:pStyle w:val="TableParagraph"/>
              <w:ind w:right="53"/>
              <w:rPr>
                <w:sz w:val="16"/>
              </w:rPr>
            </w:pPr>
            <w:r>
              <w:rPr>
                <w:sz w:val="16"/>
              </w:rPr>
              <w:t>37.249,95</w:t>
            </w:r>
          </w:p>
        </w:tc>
        <w:tc>
          <w:tcPr>
            <w:tcW w:w="1654" w:type="dxa"/>
          </w:tcPr>
          <w:p>
            <w:pPr>
              <w:pStyle w:val="TableParagraph"/>
              <w:ind w:right="61"/>
              <w:rPr>
                <w:sz w:val="16"/>
              </w:rPr>
            </w:pPr>
            <w:r>
              <w:rPr>
                <w:sz w:val="16"/>
              </w:rPr>
              <w:t>29.331,51</w:t>
            </w:r>
          </w:p>
        </w:tc>
      </w:tr>
      <w:tr>
        <w:trPr>
          <w:trHeight w:val="287" w:hRule="atLeast"/>
        </w:trPr>
        <w:tc>
          <w:tcPr>
            <w:tcW w:w="5345" w:type="dxa"/>
          </w:tcPr>
          <w:p>
            <w:pPr>
              <w:pStyle w:val="TableParagraph"/>
              <w:ind w:left="73"/>
              <w:jc w:val="left"/>
              <w:rPr>
                <w:b/>
                <w:sz w:val="16"/>
              </w:rPr>
            </w:pPr>
            <w:r>
              <w:rPr>
                <w:b/>
                <w:sz w:val="16"/>
              </w:rPr>
              <w:t>Total</w:t>
            </w:r>
          </w:p>
        </w:tc>
        <w:tc>
          <w:tcPr>
            <w:tcW w:w="1654" w:type="dxa"/>
          </w:tcPr>
          <w:p>
            <w:pPr>
              <w:pStyle w:val="TableParagraph"/>
              <w:ind w:right="53"/>
              <w:rPr>
                <w:b/>
                <w:sz w:val="16"/>
              </w:rPr>
            </w:pPr>
            <w:r>
              <w:rPr>
                <w:b/>
                <w:sz w:val="16"/>
              </w:rPr>
              <w:t>44.155,05</w:t>
            </w:r>
          </w:p>
        </w:tc>
        <w:tc>
          <w:tcPr>
            <w:tcW w:w="1654" w:type="dxa"/>
          </w:tcPr>
          <w:p>
            <w:pPr>
              <w:pStyle w:val="TableParagraph"/>
              <w:ind w:right="61"/>
              <w:rPr>
                <w:b/>
                <w:sz w:val="16"/>
              </w:rPr>
            </w:pPr>
            <w:r>
              <w:rPr>
                <w:b/>
                <w:sz w:val="16"/>
              </w:rPr>
              <w:t>35.237,37</w:t>
            </w:r>
          </w:p>
        </w:tc>
      </w:tr>
    </w:tbl>
    <w:p>
      <w:pPr>
        <w:pStyle w:val="BodyText"/>
        <w:spacing w:before="129"/>
        <w:ind w:left="403"/>
      </w:pPr>
      <w:r>
        <w:rPr>
          <w:w w:val="105"/>
        </w:rPr>
        <w:t>El detalle de los préstamos y partidas a cobrar al 31 de diciembre de 2024 y 2023 es el siguiente:</w:t>
      </w:r>
    </w:p>
    <w:p>
      <w:pPr>
        <w:pStyle w:val="BodyText"/>
        <w:spacing w:before="2"/>
        <w:rPr>
          <w:sz w:val="10"/>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98"/>
        <w:gridCol w:w="1723"/>
        <w:gridCol w:w="1732"/>
      </w:tblGrid>
      <w:tr>
        <w:trPr>
          <w:trHeight w:val="224" w:hRule="atLeast"/>
        </w:trPr>
        <w:tc>
          <w:tcPr>
            <w:tcW w:w="5198" w:type="dxa"/>
            <w:vMerge w:val="restart"/>
            <w:shd w:val="clear" w:color="auto" w:fill="D9D9D9"/>
          </w:tcPr>
          <w:p>
            <w:pPr>
              <w:pStyle w:val="TableParagraph"/>
              <w:spacing w:before="0"/>
              <w:jc w:val="left"/>
              <w:rPr>
                <w:rFonts w:ascii="Times New Roman"/>
                <w:sz w:val="16"/>
              </w:rPr>
            </w:pPr>
          </w:p>
        </w:tc>
        <w:tc>
          <w:tcPr>
            <w:tcW w:w="1723" w:type="dxa"/>
            <w:shd w:val="clear" w:color="auto" w:fill="D9D9D9"/>
          </w:tcPr>
          <w:p>
            <w:pPr>
              <w:pStyle w:val="TableParagraph"/>
              <w:spacing w:line="188" w:lineRule="exact" w:before="16"/>
              <w:ind w:left="475"/>
              <w:jc w:val="left"/>
              <w:rPr>
                <w:b/>
                <w:sz w:val="16"/>
              </w:rPr>
            </w:pPr>
            <w:r>
              <w:rPr>
                <w:b/>
                <w:sz w:val="16"/>
              </w:rPr>
              <w:t>Corto Plazo</w:t>
            </w:r>
          </w:p>
        </w:tc>
        <w:tc>
          <w:tcPr>
            <w:tcW w:w="1732" w:type="dxa"/>
            <w:shd w:val="clear" w:color="auto" w:fill="D9D9D9"/>
          </w:tcPr>
          <w:p>
            <w:pPr>
              <w:pStyle w:val="TableParagraph"/>
              <w:spacing w:line="188" w:lineRule="exact" w:before="16"/>
              <w:ind w:left="484"/>
              <w:jc w:val="left"/>
              <w:rPr>
                <w:b/>
                <w:sz w:val="16"/>
              </w:rPr>
            </w:pPr>
            <w:r>
              <w:rPr>
                <w:b/>
                <w:sz w:val="16"/>
              </w:rPr>
              <w:t>Corto Plazo</w:t>
            </w:r>
          </w:p>
        </w:tc>
      </w:tr>
      <w:tr>
        <w:trPr>
          <w:trHeight w:val="224" w:hRule="atLeast"/>
        </w:trPr>
        <w:tc>
          <w:tcPr>
            <w:tcW w:w="5198" w:type="dxa"/>
            <w:vMerge/>
            <w:tcBorders>
              <w:top w:val="nil"/>
            </w:tcBorders>
            <w:shd w:val="clear" w:color="auto" w:fill="D9D9D9"/>
          </w:tcPr>
          <w:p>
            <w:pPr>
              <w:rPr>
                <w:sz w:val="2"/>
                <w:szCs w:val="2"/>
              </w:rPr>
            </w:pPr>
          </w:p>
        </w:tc>
        <w:tc>
          <w:tcPr>
            <w:tcW w:w="1723" w:type="dxa"/>
            <w:shd w:val="clear" w:color="auto" w:fill="D9D9D9"/>
          </w:tcPr>
          <w:p>
            <w:pPr>
              <w:pStyle w:val="TableParagraph"/>
              <w:spacing w:line="188" w:lineRule="exact" w:before="17"/>
              <w:ind w:left="461"/>
              <w:jc w:val="left"/>
              <w:rPr>
                <w:b/>
                <w:sz w:val="16"/>
              </w:rPr>
            </w:pPr>
            <w:r>
              <w:rPr>
                <w:b/>
                <w:sz w:val="16"/>
              </w:rPr>
              <w:t>31/12/2024</w:t>
            </w:r>
          </w:p>
        </w:tc>
        <w:tc>
          <w:tcPr>
            <w:tcW w:w="1732" w:type="dxa"/>
            <w:shd w:val="clear" w:color="auto" w:fill="D9D9D9"/>
          </w:tcPr>
          <w:p>
            <w:pPr>
              <w:pStyle w:val="TableParagraph"/>
              <w:spacing w:line="188" w:lineRule="exact" w:before="17"/>
              <w:ind w:left="469"/>
              <w:jc w:val="left"/>
              <w:rPr>
                <w:b/>
                <w:sz w:val="16"/>
              </w:rPr>
            </w:pPr>
            <w:r>
              <w:rPr>
                <w:b/>
                <w:sz w:val="16"/>
              </w:rPr>
              <w:t>31/12/2023</w:t>
            </w:r>
          </w:p>
        </w:tc>
      </w:tr>
      <w:tr>
        <w:trPr>
          <w:trHeight w:val="300" w:hRule="atLeast"/>
        </w:trPr>
        <w:tc>
          <w:tcPr>
            <w:tcW w:w="5198" w:type="dxa"/>
            <w:tcBorders>
              <w:bottom w:val="nil"/>
            </w:tcBorders>
          </w:tcPr>
          <w:p>
            <w:pPr>
              <w:pStyle w:val="TableParagraph"/>
              <w:spacing w:before="52"/>
              <w:ind w:left="73"/>
              <w:jc w:val="left"/>
              <w:rPr>
                <w:b/>
                <w:sz w:val="16"/>
              </w:rPr>
            </w:pPr>
            <w:r>
              <w:rPr>
                <w:b/>
                <w:sz w:val="16"/>
                <w:u w:val="single"/>
              </w:rPr>
              <w:t>Por operaciones comerciales</w:t>
            </w:r>
            <w:r>
              <w:rPr>
                <w:b/>
                <w:sz w:val="16"/>
              </w:rPr>
              <w:t>:</w:t>
            </w:r>
          </w:p>
        </w:tc>
        <w:tc>
          <w:tcPr>
            <w:tcW w:w="1723" w:type="dxa"/>
            <w:vMerge w:val="restart"/>
          </w:tcPr>
          <w:p>
            <w:pPr>
              <w:pStyle w:val="TableParagraph"/>
              <w:spacing w:before="0"/>
              <w:jc w:val="left"/>
              <w:rPr>
                <w:sz w:val="16"/>
              </w:rPr>
            </w:pPr>
          </w:p>
          <w:p>
            <w:pPr>
              <w:pStyle w:val="TableParagraph"/>
              <w:spacing w:before="140"/>
              <w:ind w:left="1085"/>
              <w:jc w:val="left"/>
              <w:rPr>
                <w:sz w:val="16"/>
              </w:rPr>
            </w:pPr>
            <w:r>
              <w:rPr>
                <w:sz w:val="16"/>
              </w:rPr>
              <w:t>4.905,12</w:t>
            </w:r>
          </w:p>
        </w:tc>
        <w:tc>
          <w:tcPr>
            <w:tcW w:w="1732" w:type="dxa"/>
            <w:vMerge w:val="restart"/>
          </w:tcPr>
          <w:p>
            <w:pPr>
              <w:pStyle w:val="TableParagraph"/>
              <w:spacing w:before="0"/>
              <w:jc w:val="left"/>
              <w:rPr>
                <w:sz w:val="16"/>
              </w:rPr>
            </w:pPr>
          </w:p>
          <w:p>
            <w:pPr>
              <w:pStyle w:val="TableParagraph"/>
              <w:spacing w:before="140"/>
              <w:ind w:left="1094"/>
              <w:jc w:val="left"/>
              <w:rPr>
                <w:sz w:val="16"/>
              </w:rPr>
            </w:pPr>
            <w:r>
              <w:rPr>
                <w:sz w:val="16"/>
              </w:rPr>
              <w:t>4.905,86</w:t>
            </w:r>
          </w:p>
        </w:tc>
      </w:tr>
      <w:tr>
        <w:trPr>
          <w:trHeight w:val="261" w:hRule="atLeast"/>
        </w:trPr>
        <w:tc>
          <w:tcPr>
            <w:tcW w:w="5198" w:type="dxa"/>
            <w:tcBorders>
              <w:top w:val="nil"/>
            </w:tcBorders>
          </w:tcPr>
          <w:p>
            <w:pPr>
              <w:pStyle w:val="TableParagraph"/>
              <w:spacing w:before="25"/>
              <w:ind w:left="73"/>
              <w:jc w:val="left"/>
              <w:rPr>
                <w:sz w:val="16"/>
              </w:rPr>
            </w:pPr>
            <w:r>
              <w:rPr>
                <w:sz w:val="16"/>
              </w:rPr>
              <w:t>Clientes</w:t>
            </w:r>
          </w:p>
        </w:tc>
        <w:tc>
          <w:tcPr>
            <w:tcW w:w="1723" w:type="dxa"/>
            <w:vMerge/>
            <w:tcBorders>
              <w:top w:val="nil"/>
            </w:tcBorders>
          </w:tcPr>
          <w:p>
            <w:pPr>
              <w:rPr>
                <w:sz w:val="2"/>
                <w:szCs w:val="2"/>
              </w:rPr>
            </w:pPr>
          </w:p>
        </w:tc>
        <w:tc>
          <w:tcPr>
            <w:tcW w:w="1732" w:type="dxa"/>
            <w:vMerge/>
            <w:tcBorders>
              <w:top w:val="nil"/>
            </w:tcBorders>
          </w:tcPr>
          <w:p>
            <w:pPr>
              <w:rPr>
                <w:sz w:val="2"/>
                <w:szCs w:val="2"/>
              </w:rPr>
            </w:pPr>
          </w:p>
        </w:tc>
      </w:tr>
      <w:tr>
        <w:trPr>
          <w:trHeight w:val="280" w:hRule="atLeast"/>
        </w:trPr>
        <w:tc>
          <w:tcPr>
            <w:tcW w:w="5198" w:type="dxa"/>
          </w:tcPr>
          <w:p>
            <w:pPr>
              <w:pStyle w:val="TableParagraph"/>
              <w:ind w:left="73"/>
              <w:jc w:val="left"/>
              <w:rPr>
                <w:b/>
                <w:sz w:val="16"/>
              </w:rPr>
            </w:pPr>
            <w:r>
              <w:rPr>
                <w:b/>
                <w:sz w:val="16"/>
              </w:rPr>
              <w:t>Total saldos por op. Comerciales</w:t>
            </w:r>
          </w:p>
        </w:tc>
        <w:tc>
          <w:tcPr>
            <w:tcW w:w="1723" w:type="dxa"/>
          </w:tcPr>
          <w:p>
            <w:pPr>
              <w:pStyle w:val="TableParagraph"/>
              <w:ind w:right="53"/>
              <w:rPr>
                <w:b/>
                <w:sz w:val="16"/>
              </w:rPr>
            </w:pPr>
            <w:r>
              <w:rPr>
                <w:b/>
                <w:sz w:val="16"/>
              </w:rPr>
              <w:t>4.905,12</w:t>
            </w:r>
          </w:p>
        </w:tc>
        <w:tc>
          <w:tcPr>
            <w:tcW w:w="1732" w:type="dxa"/>
          </w:tcPr>
          <w:p>
            <w:pPr>
              <w:pStyle w:val="TableParagraph"/>
              <w:ind w:right="53"/>
              <w:rPr>
                <w:b/>
                <w:sz w:val="16"/>
              </w:rPr>
            </w:pPr>
            <w:r>
              <w:rPr>
                <w:b/>
                <w:sz w:val="16"/>
              </w:rPr>
              <w:t>4.905,86</w:t>
            </w:r>
          </w:p>
        </w:tc>
      </w:tr>
      <w:tr>
        <w:trPr>
          <w:trHeight w:val="298" w:hRule="atLeast"/>
        </w:trPr>
        <w:tc>
          <w:tcPr>
            <w:tcW w:w="5198" w:type="dxa"/>
            <w:tcBorders>
              <w:bottom w:val="nil"/>
            </w:tcBorders>
          </w:tcPr>
          <w:p>
            <w:pPr>
              <w:pStyle w:val="TableParagraph"/>
              <w:ind w:left="73"/>
              <w:jc w:val="left"/>
              <w:rPr>
                <w:b/>
                <w:sz w:val="16"/>
              </w:rPr>
            </w:pPr>
            <w:r>
              <w:rPr>
                <w:b/>
                <w:sz w:val="16"/>
                <w:u w:val="single"/>
              </w:rPr>
              <w:t>Por operaciones no comerciales:</w:t>
            </w:r>
          </w:p>
        </w:tc>
        <w:tc>
          <w:tcPr>
            <w:tcW w:w="1723" w:type="dxa"/>
            <w:tcBorders>
              <w:bottom w:val="nil"/>
            </w:tcBorders>
          </w:tcPr>
          <w:p>
            <w:pPr>
              <w:pStyle w:val="TableParagraph"/>
              <w:spacing w:before="0"/>
              <w:jc w:val="left"/>
              <w:rPr>
                <w:rFonts w:ascii="Times New Roman"/>
                <w:sz w:val="16"/>
              </w:rPr>
            </w:pPr>
          </w:p>
        </w:tc>
        <w:tc>
          <w:tcPr>
            <w:tcW w:w="1732" w:type="dxa"/>
            <w:tcBorders>
              <w:bottom w:val="nil"/>
            </w:tcBorders>
          </w:tcPr>
          <w:p>
            <w:pPr>
              <w:pStyle w:val="TableParagraph"/>
              <w:spacing w:before="0"/>
              <w:jc w:val="left"/>
              <w:rPr>
                <w:rFonts w:ascii="Times New Roman"/>
                <w:sz w:val="16"/>
              </w:rPr>
            </w:pPr>
          </w:p>
        </w:tc>
      </w:tr>
      <w:tr>
        <w:trPr>
          <w:trHeight w:val="283" w:hRule="atLeast"/>
        </w:trPr>
        <w:tc>
          <w:tcPr>
            <w:tcW w:w="5198" w:type="dxa"/>
            <w:tcBorders>
              <w:top w:val="nil"/>
              <w:bottom w:val="nil"/>
            </w:tcBorders>
          </w:tcPr>
          <w:p>
            <w:pPr>
              <w:pStyle w:val="TableParagraph"/>
              <w:spacing w:before="30"/>
              <w:ind w:left="73"/>
              <w:jc w:val="left"/>
              <w:rPr>
                <w:sz w:val="16"/>
              </w:rPr>
            </w:pPr>
            <w:r>
              <w:rPr>
                <w:sz w:val="16"/>
              </w:rPr>
              <w:t>Personal</w:t>
            </w:r>
          </w:p>
        </w:tc>
        <w:tc>
          <w:tcPr>
            <w:tcW w:w="1723" w:type="dxa"/>
            <w:tcBorders>
              <w:top w:val="nil"/>
              <w:bottom w:val="nil"/>
            </w:tcBorders>
          </w:tcPr>
          <w:p>
            <w:pPr>
              <w:pStyle w:val="TableParagraph"/>
              <w:spacing w:before="30"/>
              <w:ind w:right="53"/>
              <w:rPr>
                <w:sz w:val="16"/>
              </w:rPr>
            </w:pPr>
            <w:r>
              <w:rPr>
                <w:sz w:val="16"/>
              </w:rPr>
              <w:t>499,98</w:t>
            </w:r>
          </w:p>
        </w:tc>
        <w:tc>
          <w:tcPr>
            <w:tcW w:w="1732" w:type="dxa"/>
            <w:tcBorders>
              <w:top w:val="nil"/>
              <w:bottom w:val="nil"/>
            </w:tcBorders>
          </w:tcPr>
          <w:p>
            <w:pPr>
              <w:pStyle w:val="TableParagraph"/>
              <w:spacing w:before="30"/>
              <w:ind w:right="57"/>
              <w:rPr>
                <w:sz w:val="16"/>
              </w:rPr>
            </w:pPr>
            <w:r>
              <w:rPr>
                <w:w w:val="101"/>
                <w:sz w:val="16"/>
              </w:rPr>
              <w:t>-</w:t>
            </w:r>
          </w:p>
        </w:tc>
      </w:tr>
      <w:tr>
        <w:trPr>
          <w:trHeight w:val="266" w:hRule="atLeast"/>
        </w:trPr>
        <w:tc>
          <w:tcPr>
            <w:tcW w:w="5198" w:type="dxa"/>
            <w:tcBorders>
              <w:top w:val="nil"/>
            </w:tcBorders>
          </w:tcPr>
          <w:p>
            <w:pPr>
              <w:pStyle w:val="TableParagraph"/>
              <w:spacing w:before="30"/>
              <w:ind w:left="73"/>
              <w:jc w:val="left"/>
              <w:rPr>
                <w:sz w:val="16"/>
              </w:rPr>
            </w:pPr>
            <w:r>
              <w:rPr>
                <w:sz w:val="16"/>
              </w:rPr>
              <w:t>Otros activos financieros</w:t>
            </w:r>
          </w:p>
        </w:tc>
        <w:tc>
          <w:tcPr>
            <w:tcW w:w="1723" w:type="dxa"/>
            <w:tcBorders>
              <w:top w:val="nil"/>
            </w:tcBorders>
          </w:tcPr>
          <w:p>
            <w:pPr>
              <w:pStyle w:val="TableParagraph"/>
              <w:spacing w:before="30"/>
              <w:ind w:right="53"/>
              <w:rPr>
                <w:sz w:val="16"/>
              </w:rPr>
            </w:pPr>
            <w:r>
              <w:rPr>
                <w:sz w:val="16"/>
              </w:rPr>
              <w:t>1.500,00</w:t>
            </w:r>
          </w:p>
        </w:tc>
        <w:tc>
          <w:tcPr>
            <w:tcW w:w="1732" w:type="dxa"/>
            <w:tcBorders>
              <w:top w:val="nil"/>
            </w:tcBorders>
          </w:tcPr>
          <w:p>
            <w:pPr>
              <w:pStyle w:val="TableParagraph"/>
              <w:spacing w:before="30"/>
              <w:ind w:right="54"/>
              <w:rPr>
                <w:sz w:val="16"/>
              </w:rPr>
            </w:pPr>
            <w:r>
              <w:rPr>
                <w:sz w:val="16"/>
              </w:rPr>
              <w:t>1.000,00</w:t>
            </w:r>
          </w:p>
        </w:tc>
      </w:tr>
      <w:tr>
        <w:trPr>
          <w:trHeight w:val="280" w:hRule="atLeast"/>
        </w:trPr>
        <w:tc>
          <w:tcPr>
            <w:tcW w:w="5198" w:type="dxa"/>
          </w:tcPr>
          <w:p>
            <w:pPr>
              <w:pStyle w:val="TableParagraph"/>
              <w:ind w:left="73"/>
              <w:jc w:val="left"/>
              <w:rPr>
                <w:b/>
                <w:sz w:val="16"/>
              </w:rPr>
            </w:pPr>
            <w:r>
              <w:rPr>
                <w:b/>
                <w:sz w:val="16"/>
              </w:rPr>
              <w:t>Total saldos por op. No comerciales</w:t>
            </w:r>
          </w:p>
        </w:tc>
        <w:tc>
          <w:tcPr>
            <w:tcW w:w="1723" w:type="dxa"/>
          </w:tcPr>
          <w:p>
            <w:pPr>
              <w:pStyle w:val="TableParagraph"/>
              <w:ind w:right="53"/>
              <w:rPr>
                <w:b/>
                <w:sz w:val="16"/>
              </w:rPr>
            </w:pPr>
            <w:r>
              <w:rPr>
                <w:b/>
                <w:sz w:val="16"/>
              </w:rPr>
              <w:t>1.999,98</w:t>
            </w:r>
          </w:p>
        </w:tc>
        <w:tc>
          <w:tcPr>
            <w:tcW w:w="1732" w:type="dxa"/>
          </w:tcPr>
          <w:p>
            <w:pPr>
              <w:pStyle w:val="TableParagraph"/>
              <w:ind w:right="53"/>
              <w:rPr>
                <w:b/>
                <w:sz w:val="16"/>
              </w:rPr>
            </w:pPr>
            <w:r>
              <w:rPr>
                <w:b/>
                <w:sz w:val="16"/>
              </w:rPr>
              <w:t>1.000,00</w:t>
            </w:r>
          </w:p>
        </w:tc>
      </w:tr>
      <w:tr>
        <w:trPr>
          <w:trHeight w:val="288" w:hRule="atLeast"/>
        </w:trPr>
        <w:tc>
          <w:tcPr>
            <w:tcW w:w="5198" w:type="dxa"/>
          </w:tcPr>
          <w:p>
            <w:pPr>
              <w:pStyle w:val="TableParagraph"/>
              <w:spacing w:before="52"/>
              <w:ind w:left="73"/>
              <w:jc w:val="left"/>
              <w:rPr>
                <w:b/>
                <w:sz w:val="16"/>
              </w:rPr>
            </w:pPr>
            <w:r>
              <w:rPr>
                <w:b/>
                <w:sz w:val="16"/>
              </w:rPr>
              <w:t>Total préstamos y partidas a cobrar</w:t>
            </w:r>
          </w:p>
        </w:tc>
        <w:tc>
          <w:tcPr>
            <w:tcW w:w="1723" w:type="dxa"/>
          </w:tcPr>
          <w:p>
            <w:pPr>
              <w:pStyle w:val="TableParagraph"/>
              <w:spacing w:before="52"/>
              <w:ind w:right="53"/>
              <w:rPr>
                <w:b/>
                <w:sz w:val="16"/>
              </w:rPr>
            </w:pPr>
            <w:r>
              <w:rPr>
                <w:b/>
                <w:sz w:val="16"/>
              </w:rPr>
              <w:t>6.905,10</w:t>
            </w:r>
          </w:p>
        </w:tc>
        <w:tc>
          <w:tcPr>
            <w:tcW w:w="1732" w:type="dxa"/>
          </w:tcPr>
          <w:p>
            <w:pPr>
              <w:pStyle w:val="TableParagraph"/>
              <w:spacing w:before="52"/>
              <w:ind w:right="53"/>
              <w:rPr>
                <w:b/>
                <w:sz w:val="16"/>
              </w:rPr>
            </w:pPr>
            <w:r>
              <w:rPr>
                <w:b/>
                <w:sz w:val="16"/>
              </w:rPr>
              <w:t>5.905,86</w:t>
            </w:r>
          </w:p>
        </w:tc>
      </w:tr>
    </w:tbl>
    <w:p>
      <w:pPr>
        <w:pStyle w:val="BodyText"/>
        <w:spacing w:before="4"/>
        <w:rPr>
          <w:sz w:val="23"/>
        </w:rPr>
      </w:pPr>
    </w:p>
    <w:p>
      <w:pPr>
        <w:pStyle w:val="ListParagraph"/>
        <w:numPr>
          <w:ilvl w:val="0"/>
          <w:numId w:val="8"/>
        </w:numPr>
        <w:tabs>
          <w:tab w:pos="581" w:val="left" w:leader="none"/>
        </w:tabs>
        <w:spacing w:line="240" w:lineRule="auto" w:before="0" w:after="0"/>
        <w:ind w:left="580" w:right="0" w:hanging="178"/>
        <w:jc w:val="left"/>
        <w:rPr>
          <w:b/>
          <w:sz w:val="17"/>
        </w:rPr>
      </w:pPr>
      <w:r>
        <w:rPr>
          <w:b/>
          <w:w w:val="105"/>
          <w:sz w:val="17"/>
        </w:rPr>
        <w:t>Correcciones por deterioro </w:t>
      </w:r>
      <w:r>
        <w:rPr>
          <w:b/>
          <w:spacing w:val="2"/>
          <w:w w:val="105"/>
          <w:sz w:val="17"/>
        </w:rPr>
        <w:t>del </w:t>
      </w:r>
      <w:r>
        <w:rPr>
          <w:b/>
          <w:w w:val="105"/>
          <w:sz w:val="17"/>
        </w:rPr>
        <w:t>valor originadas por el riesgo de</w:t>
      </w:r>
      <w:r>
        <w:rPr>
          <w:b/>
          <w:spacing w:val="12"/>
          <w:w w:val="105"/>
          <w:sz w:val="17"/>
        </w:rPr>
        <w:t> </w:t>
      </w:r>
      <w:r>
        <w:rPr>
          <w:b/>
          <w:w w:val="105"/>
          <w:sz w:val="17"/>
        </w:rPr>
        <w:t>crédito.</w:t>
      </w:r>
    </w:p>
    <w:p>
      <w:pPr>
        <w:pStyle w:val="BodyText"/>
        <w:spacing w:before="4"/>
        <w:rPr>
          <w:b/>
          <w:sz w:val="14"/>
        </w:rPr>
      </w:pPr>
    </w:p>
    <w:p>
      <w:pPr>
        <w:pStyle w:val="BodyText"/>
        <w:spacing w:line="304" w:lineRule="auto" w:before="1"/>
        <w:ind w:left="403" w:right="483"/>
      </w:pPr>
      <w:r>
        <w:rPr>
          <w:w w:val="105"/>
        </w:rPr>
        <w:t>El análisis del movimiento de las cuentas correctoras representativa de las pérdidas por deterioro originadas por el riesgo de crédito para los ejercicios 2024 y 2023 el siguiente:</w:t>
      </w:r>
    </w:p>
    <w:p>
      <w:pPr>
        <w:spacing w:after="0" w:line="304" w:lineRule="auto"/>
        <w:sectPr>
          <w:pgSz w:w="11920" w:h="16850"/>
          <w:pgMar w:header="735" w:footer="891" w:top="1600" w:bottom="1080" w:left="1300" w:right="1300"/>
        </w:sectPr>
      </w:pPr>
    </w:p>
    <w:p>
      <w:pPr>
        <w:pStyle w:val="BodyText"/>
        <w:spacing w:before="5"/>
        <w:rPr>
          <w:sz w:val="8"/>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0"/>
        <w:gridCol w:w="1125"/>
        <w:gridCol w:w="1135"/>
        <w:gridCol w:w="1135"/>
        <w:gridCol w:w="1135"/>
      </w:tblGrid>
      <w:tr>
        <w:trPr>
          <w:trHeight w:val="238" w:hRule="atLeast"/>
        </w:trPr>
        <w:tc>
          <w:tcPr>
            <w:tcW w:w="4120" w:type="dxa"/>
            <w:vMerge w:val="restart"/>
            <w:tcBorders>
              <w:top w:val="nil"/>
              <w:left w:val="nil"/>
            </w:tcBorders>
          </w:tcPr>
          <w:p>
            <w:pPr>
              <w:pStyle w:val="TableParagraph"/>
              <w:spacing w:before="0"/>
              <w:jc w:val="left"/>
              <w:rPr>
                <w:rFonts w:ascii="Times New Roman"/>
                <w:sz w:val="16"/>
              </w:rPr>
            </w:pPr>
          </w:p>
        </w:tc>
        <w:tc>
          <w:tcPr>
            <w:tcW w:w="4530" w:type="dxa"/>
            <w:gridSpan w:val="4"/>
            <w:shd w:val="clear" w:color="auto" w:fill="D9D9D9"/>
          </w:tcPr>
          <w:p>
            <w:pPr>
              <w:pStyle w:val="TableParagraph"/>
              <w:spacing w:line="173" w:lineRule="exact"/>
              <w:ind w:left="1347"/>
              <w:jc w:val="left"/>
              <w:rPr>
                <w:b/>
                <w:sz w:val="16"/>
              </w:rPr>
            </w:pPr>
            <w:r>
              <w:rPr>
                <w:b/>
                <w:sz w:val="16"/>
              </w:rPr>
              <w:t>Clase de activos financieros</w:t>
            </w:r>
          </w:p>
        </w:tc>
      </w:tr>
      <w:tr>
        <w:trPr>
          <w:trHeight w:val="238" w:hRule="atLeast"/>
        </w:trPr>
        <w:tc>
          <w:tcPr>
            <w:tcW w:w="4120" w:type="dxa"/>
            <w:vMerge/>
            <w:tcBorders>
              <w:top w:val="nil"/>
              <w:left w:val="nil"/>
            </w:tcBorders>
          </w:tcPr>
          <w:p>
            <w:pPr>
              <w:rPr>
                <w:sz w:val="2"/>
                <w:szCs w:val="2"/>
              </w:rPr>
            </w:pPr>
          </w:p>
        </w:tc>
        <w:tc>
          <w:tcPr>
            <w:tcW w:w="2260" w:type="dxa"/>
            <w:gridSpan w:val="2"/>
            <w:shd w:val="clear" w:color="auto" w:fill="D9D9D9"/>
          </w:tcPr>
          <w:p>
            <w:pPr>
              <w:pStyle w:val="TableParagraph"/>
              <w:spacing w:line="173" w:lineRule="exact"/>
              <w:ind w:left="233"/>
              <w:jc w:val="left"/>
              <w:rPr>
                <w:b/>
                <w:sz w:val="16"/>
              </w:rPr>
            </w:pPr>
            <w:r>
              <w:rPr>
                <w:b/>
                <w:sz w:val="16"/>
              </w:rPr>
              <w:t>Créditos, derivados y otros</w:t>
            </w:r>
          </w:p>
        </w:tc>
        <w:tc>
          <w:tcPr>
            <w:tcW w:w="2270" w:type="dxa"/>
            <w:gridSpan w:val="2"/>
            <w:shd w:val="clear" w:color="auto" w:fill="D9D9D9"/>
          </w:tcPr>
          <w:p>
            <w:pPr>
              <w:pStyle w:val="TableParagraph"/>
              <w:spacing w:line="173" w:lineRule="exact"/>
              <w:ind w:left="901" w:right="887"/>
              <w:jc w:val="center"/>
              <w:rPr>
                <w:b/>
                <w:sz w:val="16"/>
              </w:rPr>
            </w:pPr>
            <w:r>
              <w:rPr>
                <w:b/>
                <w:sz w:val="16"/>
              </w:rPr>
              <w:t>TOTAL</w:t>
            </w:r>
          </w:p>
        </w:tc>
      </w:tr>
      <w:tr>
        <w:trPr>
          <w:trHeight w:val="238" w:hRule="atLeast"/>
        </w:trPr>
        <w:tc>
          <w:tcPr>
            <w:tcW w:w="4120" w:type="dxa"/>
            <w:vMerge/>
            <w:tcBorders>
              <w:top w:val="nil"/>
              <w:left w:val="nil"/>
            </w:tcBorders>
          </w:tcPr>
          <w:p>
            <w:pPr>
              <w:rPr>
                <w:sz w:val="2"/>
                <w:szCs w:val="2"/>
              </w:rPr>
            </w:pPr>
          </w:p>
        </w:tc>
        <w:tc>
          <w:tcPr>
            <w:tcW w:w="1125" w:type="dxa"/>
            <w:shd w:val="clear" w:color="auto" w:fill="D9D9D9"/>
          </w:tcPr>
          <w:p>
            <w:pPr>
              <w:pStyle w:val="TableParagraph"/>
              <w:spacing w:line="174" w:lineRule="exact"/>
              <w:ind w:left="176"/>
              <w:jc w:val="left"/>
              <w:rPr>
                <w:b/>
                <w:sz w:val="16"/>
              </w:rPr>
            </w:pPr>
            <w:r>
              <w:rPr>
                <w:b/>
                <w:sz w:val="16"/>
              </w:rPr>
              <w:t>Largo plazo</w:t>
            </w:r>
          </w:p>
        </w:tc>
        <w:tc>
          <w:tcPr>
            <w:tcW w:w="1135" w:type="dxa"/>
            <w:shd w:val="clear" w:color="auto" w:fill="D9D9D9"/>
          </w:tcPr>
          <w:p>
            <w:pPr>
              <w:pStyle w:val="TableParagraph"/>
              <w:spacing w:line="174" w:lineRule="exact"/>
              <w:ind w:left="187"/>
              <w:jc w:val="left"/>
              <w:rPr>
                <w:b/>
                <w:sz w:val="16"/>
              </w:rPr>
            </w:pPr>
            <w:r>
              <w:rPr>
                <w:b/>
                <w:sz w:val="16"/>
              </w:rPr>
              <w:t>Corto plazo</w:t>
            </w:r>
          </w:p>
        </w:tc>
        <w:tc>
          <w:tcPr>
            <w:tcW w:w="1135" w:type="dxa"/>
            <w:shd w:val="clear" w:color="auto" w:fill="D9D9D9"/>
          </w:tcPr>
          <w:p>
            <w:pPr>
              <w:pStyle w:val="TableParagraph"/>
              <w:spacing w:line="174" w:lineRule="exact"/>
              <w:ind w:left="187"/>
              <w:jc w:val="left"/>
              <w:rPr>
                <w:b/>
                <w:sz w:val="16"/>
              </w:rPr>
            </w:pPr>
            <w:r>
              <w:rPr>
                <w:b/>
                <w:sz w:val="16"/>
              </w:rPr>
              <w:t>Largo plazo</w:t>
            </w:r>
          </w:p>
        </w:tc>
        <w:tc>
          <w:tcPr>
            <w:tcW w:w="1135" w:type="dxa"/>
            <w:shd w:val="clear" w:color="auto" w:fill="D9D9D9"/>
          </w:tcPr>
          <w:p>
            <w:pPr>
              <w:pStyle w:val="TableParagraph"/>
              <w:spacing w:line="174" w:lineRule="exact"/>
              <w:ind w:left="181"/>
              <w:jc w:val="left"/>
              <w:rPr>
                <w:b/>
                <w:sz w:val="16"/>
              </w:rPr>
            </w:pPr>
            <w:r>
              <w:rPr>
                <w:b/>
                <w:sz w:val="16"/>
              </w:rPr>
              <w:t>Corto plazo</w:t>
            </w:r>
          </w:p>
        </w:tc>
      </w:tr>
      <w:tr>
        <w:trPr>
          <w:trHeight w:val="252" w:hRule="atLeast"/>
        </w:trPr>
        <w:tc>
          <w:tcPr>
            <w:tcW w:w="4120" w:type="dxa"/>
          </w:tcPr>
          <w:p>
            <w:pPr>
              <w:pStyle w:val="TableParagraph"/>
              <w:spacing w:before="30"/>
              <w:ind w:left="73"/>
              <w:jc w:val="left"/>
              <w:rPr>
                <w:b/>
                <w:sz w:val="16"/>
              </w:rPr>
            </w:pPr>
            <w:r>
              <w:rPr>
                <w:b/>
                <w:sz w:val="16"/>
              </w:rPr>
              <w:t>Pérdida por deterioro al inicio del ejercicio 2023</w:t>
            </w:r>
          </w:p>
        </w:tc>
        <w:tc>
          <w:tcPr>
            <w:tcW w:w="1125" w:type="dxa"/>
          </w:tcPr>
          <w:p>
            <w:pPr>
              <w:pStyle w:val="TableParagraph"/>
              <w:spacing w:before="30"/>
              <w:ind w:right="56"/>
              <w:rPr>
                <w:b/>
                <w:sz w:val="16"/>
              </w:rPr>
            </w:pPr>
            <w:r>
              <w:rPr>
                <w:b/>
                <w:w w:val="101"/>
                <w:sz w:val="16"/>
              </w:rPr>
              <w:t>-</w:t>
            </w:r>
          </w:p>
        </w:tc>
        <w:tc>
          <w:tcPr>
            <w:tcW w:w="1135" w:type="dxa"/>
          </w:tcPr>
          <w:p>
            <w:pPr>
              <w:pStyle w:val="TableParagraph"/>
              <w:spacing w:before="30"/>
              <w:ind w:right="52"/>
              <w:rPr>
                <w:b/>
                <w:sz w:val="16"/>
              </w:rPr>
            </w:pPr>
            <w:r>
              <w:rPr>
                <w:b/>
                <w:sz w:val="16"/>
              </w:rPr>
              <w:t>11.788,11</w:t>
            </w:r>
          </w:p>
        </w:tc>
        <w:tc>
          <w:tcPr>
            <w:tcW w:w="1135" w:type="dxa"/>
          </w:tcPr>
          <w:p>
            <w:pPr>
              <w:pStyle w:val="TableParagraph"/>
              <w:spacing w:before="30"/>
              <w:ind w:right="55"/>
              <w:rPr>
                <w:b/>
                <w:sz w:val="16"/>
              </w:rPr>
            </w:pPr>
            <w:r>
              <w:rPr>
                <w:b/>
                <w:w w:val="101"/>
                <w:sz w:val="16"/>
              </w:rPr>
              <w:t>-</w:t>
            </w:r>
          </w:p>
        </w:tc>
        <w:tc>
          <w:tcPr>
            <w:tcW w:w="1135" w:type="dxa"/>
          </w:tcPr>
          <w:p>
            <w:pPr>
              <w:pStyle w:val="TableParagraph"/>
              <w:spacing w:before="30"/>
              <w:ind w:right="58"/>
              <w:rPr>
                <w:b/>
                <w:sz w:val="16"/>
              </w:rPr>
            </w:pPr>
            <w:r>
              <w:rPr>
                <w:b/>
                <w:sz w:val="16"/>
              </w:rPr>
              <w:t>11.788,11</w:t>
            </w:r>
          </w:p>
        </w:tc>
      </w:tr>
      <w:tr>
        <w:trPr>
          <w:trHeight w:val="252" w:hRule="atLeast"/>
        </w:trPr>
        <w:tc>
          <w:tcPr>
            <w:tcW w:w="4120" w:type="dxa"/>
            <w:tcBorders>
              <w:bottom w:val="nil"/>
            </w:tcBorders>
          </w:tcPr>
          <w:p>
            <w:pPr>
              <w:pStyle w:val="TableParagraph"/>
              <w:spacing w:before="31"/>
              <w:ind w:left="73"/>
              <w:jc w:val="left"/>
              <w:rPr>
                <w:sz w:val="16"/>
              </w:rPr>
            </w:pPr>
            <w:r>
              <w:rPr>
                <w:sz w:val="16"/>
              </w:rPr>
              <w:t>(+) Corrección valorativa por deterioro</w:t>
            </w:r>
          </w:p>
        </w:tc>
        <w:tc>
          <w:tcPr>
            <w:tcW w:w="1125" w:type="dxa"/>
          </w:tcPr>
          <w:p>
            <w:pPr>
              <w:pStyle w:val="TableParagraph"/>
              <w:spacing w:before="31"/>
              <w:ind w:right="56"/>
              <w:rPr>
                <w:sz w:val="16"/>
              </w:rPr>
            </w:pPr>
            <w:r>
              <w:rPr>
                <w:w w:val="101"/>
                <w:sz w:val="16"/>
              </w:rPr>
              <w:t>-</w:t>
            </w:r>
          </w:p>
        </w:tc>
        <w:tc>
          <w:tcPr>
            <w:tcW w:w="1135" w:type="dxa"/>
          </w:tcPr>
          <w:p>
            <w:pPr>
              <w:pStyle w:val="TableParagraph"/>
              <w:spacing w:before="31"/>
              <w:ind w:right="55"/>
              <w:rPr>
                <w:sz w:val="16"/>
              </w:rPr>
            </w:pPr>
            <w:r>
              <w:rPr>
                <w:w w:val="101"/>
                <w:sz w:val="16"/>
              </w:rPr>
              <w:t>-</w:t>
            </w:r>
          </w:p>
        </w:tc>
        <w:tc>
          <w:tcPr>
            <w:tcW w:w="1135" w:type="dxa"/>
          </w:tcPr>
          <w:p>
            <w:pPr>
              <w:pStyle w:val="TableParagraph"/>
              <w:spacing w:before="31"/>
              <w:ind w:right="55"/>
              <w:rPr>
                <w:sz w:val="16"/>
              </w:rPr>
            </w:pPr>
            <w:r>
              <w:rPr>
                <w:w w:val="101"/>
                <w:sz w:val="16"/>
              </w:rPr>
              <w:t>-</w:t>
            </w:r>
          </w:p>
        </w:tc>
        <w:tc>
          <w:tcPr>
            <w:tcW w:w="1135" w:type="dxa"/>
          </w:tcPr>
          <w:p>
            <w:pPr>
              <w:pStyle w:val="TableParagraph"/>
              <w:spacing w:before="31"/>
              <w:ind w:right="61"/>
              <w:rPr>
                <w:sz w:val="16"/>
              </w:rPr>
            </w:pPr>
            <w:r>
              <w:rPr>
                <w:w w:val="101"/>
                <w:sz w:val="16"/>
              </w:rPr>
              <w:t>-</w:t>
            </w:r>
          </w:p>
        </w:tc>
      </w:tr>
      <w:tr>
        <w:trPr>
          <w:trHeight w:val="259" w:hRule="atLeast"/>
        </w:trPr>
        <w:tc>
          <w:tcPr>
            <w:tcW w:w="4120" w:type="dxa"/>
            <w:tcBorders>
              <w:top w:val="nil"/>
              <w:bottom w:val="nil"/>
            </w:tcBorders>
          </w:tcPr>
          <w:p>
            <w:pPr>
              <w:pStyle w:val="TableParagraph"/>
              <w:spacing w:before="37"/>
              <w:ind w:left="73"/>
              <w:jc w:val="left"/>
              <w:rPr>
                <w:sz w:val="16"/>
              </w:rPr>
            </w:pPr>
            <w:r>
              <w:rPr>
                <w:sz w:val="16"/>
              </w:rPr>
              <w:t>(-) Reversión del deterioro</w:t>
            </w:r>
          </w:p>
        </w:tc>
        <w:tc>
          <w:tcPr>
            <w:tcW w:w="1125" w:type="dxa"/>
          </w:tcPr>
          <w:p>
            <w:pPr>
              <w:pStyle w:val="TableParagraph"/>
              <w:spacing w:before="37"/>
              <w:ind w:right="56"/>
              <w:rPr>
                <w:sz w:val="16"/>
              </w:rPr>
            </w:pPr>
            <w:r>
              <w:rPr>
                <w:w w:val="101"/>
                <w:sz w:val="16"/>
              </w:rPr>
              <w:t>-</w:t>
            </w:r>
          </w:p>
        </w:tc>
        <w:tc>
          <w:tcPr>
            <w:tcW w:w="1135" w:type="dxa"/>
          </w:tcPr>
          <w:p>
            <w:pPr>
              <w:pStyle w:val="TableParagraph"/>
              <w:spacing w:before="37"/>
              <w:ind w:right="55"/>
              <w:rPr>
                <w:sz w:val="16"/>
              </w:rPr>
            </w:pPr>
            <w:r>
              <w:rPr>
                <w:w w:val="101"/>
                <w:sz w:val="16"/>
              </w:rPr>
              <w:t>-</w:t>
            </w:r>
          </w:p>
        </w:tc>
        <w:tc>
          <w:tcPr>
            <w:tcW w:w="1135" w:type="dxa"/>
          </w:tcPr>
          <w:p>
            <w:pPr>
              <w:pStyle w:val="TableParagraph"/>
              <w:spacing w:before="37"/>
              <w:ind w:right="55"/>
              <w:rPr>
                <w:sz w:val="16"/>
              </w:rPr>
            </w:pPr>
            <w:r>
              <w:rPr>
                <w:w w:val="101"/>
                <w:sz w:val="16"/>
              </w:rPr>
              <w:t>-</w:t>
            </w:r>
          </w:p>
        </w:tc>
        <w:tc>
          <w:tcPr>
            <w:tcW w:w="1135" w:type="dxa"/>
          </w:tcPr>
          <w:p>
            <w:pPr>
              <w:pStyle w:val="TableParagraph"/>
              <w:spacing w:before="37"/>
              <w:ind w:right="61"/>
              <w:rPr>
                <w:sz w:val="16"/>
              </w:rPr>
            </w:pPr>
            <w:r>
              <w:rPr>
                <w:w w:val="101"/>
                <w:sz w:val="16"/>
              </w:rPr>
              <w:t>-</w:t>
            </w:r>
          </w:p>
        </w:tc>
      </w:tr>
      <w:tr>
        <w:trPr>
          <w:trHeight w:val="252" w:hRule="atLeast"/>
        </w:trPr>
        <w:tc>
          <w:tcPr>
            <w:tcW w:w="4120" w:type="dxa"/>
            <w:tcBorders>
              <w:top w:val="nil"/>
              <w:bottom w:val="nil"/>
            </w:tcBorders>
          </w:tcPr>
          <w:p>
            <w:pPr>
              <w:pStyle w:val="TableParagraph"/>
              <w:spacing w:before="31"/>
              <w:ind w:left="73"/>
              <w:jc w:val="left"/>
              <w:rPr>
                <w:sz w:val="16"/>
              </w:rPr>
            </w:pPr>
            <w:r>
              <w:rPr>
                <w:sz w:val="16"/>
              </w:rPr>
              <w:t>(-) Salidas y reducciones</w:t>
            </w:r>
          </w:p>
        </w:tc>
        <w:tc>
          <w:tcPr>
            <w:tcW w:w="1125" w:type="dxa"/>
          </w:tcPr>
          <w:p>
            <w:pPr>
              <w:pStyle w:val="TableParagraph"/>
              <w:spacing w:before="31"/>
              <w:ind w:right="56"/>
              <w:rPr>
                <w:sz w:val="16"/>
              </w:rPr>
            </w:pPr>
            <w:r>
              <w:rPr>
                <w:w w:val="101"/>
                <w:sz w:val="16"/>
              </w:rPr>
              <w:t>-</w:t>
            </w:r>
          </w:p>
        </w:tc>
        <w:tc>
          <w:tcPr>
            <w:tcW w:w="1135" w:type="dxa"/>
          </w:tcPr>
          <w:p>
            <w:pPr>
              <w:pStyle w:val="TableParagraph"/>
              <w:spacing w:before="31"/>
              <w:ind w:right="55"/>
              <w:rPr>
                <w:sz w:val="16"/>
              </w:rPr>
            </w:pPr>
            <w:r>
              <w:rPr>
                <w:w w:val="101"/>
                <w:sz w:val="16"/>
              </w:rPr>
              <w:t>-</w:t>
            </w:r>
          </w:p>
        </w:tc>
        <w:tc>
          <w:tcPr>
            <w:tcW w:w="1135" w:type="dxa"/>
          </w:tcPr>
          <w:p>
            <w:pPr>
              <w:pStyle w:val="TableParagraph"/>
              <w:spacing w:before="31"/>
              <w:ind w:right="55"/>
              <w:rPr>
                <w:sz w:val="16"/>
              </w:rPr>
            </w:pPr>
            <w:r>
              <w:rPr>
                <w:w w:val="101"/>
                <w:sz w:val="16"/>
              </w:rPr>
              <w:t>-</w:t>
            </w:r>
          </w:p>
        </w:tc>
        <w:tc>
          <w:tcPr>
            <w:tcW w:w="1135" w:type="dxa"/>
          </w:tcPr>
          <w:p>
            <w:pPr>
              <w:pStyle w:val="TableParagraph"/>
              <w:spacing w:before="31"/>
              <w:ind w:right="61"/>
              <w:rPr>
                <w:sz w:val="16"/>
              </w:rPr>
            </w:pPr>
            <w:r>
              <w:rPr>
                <w:w w:val="101"/>
                <w:sz w:val="16"/>
              </w:rPr>
              <w:t>-</w:t>
            </w:r>
          </w:p>
        </w:tc>
      </w:tr>
      <w:tr>
        <w:trPr>
          <w:trHeight w:val="252" w:hRule="atLeast"/>
        </w:trPr>
        <w:tc>
          <w:tcPr>
            <w:tcW w:w="4120" w:type="dxa"/>
            <w:tcBorders>
              <w:top w:val="nil"/>
            </w:tcBorders>
          </w:tcPr>
          <w:p>
            <w:pPr>
              <w:pStyle w:val="TableParagraph"/>
              <w:spacing w:before="30"/>
              <w:ind w:left="73"/>
              <w:jc w:val="left"/>
              <w:rPr>
                <w:sz w:val="16"/>
              </w:rPr>
            </w:pPr>
            <w:r>
              <w:rPr>
                <w:sz w:val="16"/>
              </w:rPr>
              <w:t>(+/-) Traspaso y otras variaciones</w:t>
            </w:r>
          </w:p>
        </w:tc>
        <w:tc>
          <w:tcPr>
            <w:tcW w:w="1125" w:type="dxa"/>
          </w:tcPr>
          <w:p>
            <w:pPr>
              <w:pStyle w:val="TableParagraph"/>
              <w:spacing w:before="30"/>
              <w:ind w:right="56"/>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61"/>
              <w:rPr>
                <w:sz w:val="16"/>
              </w:rPr>
            </w:pPr>
            <w:r>
              <w:rPr>
                <w:w w:val="101"/>
                <w:sz w:val="16"/>
              </w:rPr>
              <w:t>-</w:t>
            </w:r>
          </w:p>
        </w:tc>
      </w:tr>
      <w:tr>
        <w:trPr>
          <w:trHeight w:val="259" w:hRule="atLeast"/>
        </w:trPr>
        <w:tc>
          <w:tcPr>
            <w:tcW w:w="4120" w:type="dxa"/>
          </w:tcPr>
          <w:p>
            <w:pPr>
              <w:pStyle w:val="TableParagraph"/>
              <w:spacing w:before="38"/>
              <w:ind w:left="73"/>
              <w:jc w:val="left"/>
              <w:rPr>
                <w:b/>
                <w:sz w:val="16"/>
              </w:rPr>
            </w:pPr>
            <w:r>
              <w:rPr>
                <w:b/>
                <w:sz w:val="16"/>
              </w:rPr>
              <w:t>Pérdida por deterioro al final del ejercicio 2023</w:t>
            </w:r>
          </w:p>
        </w:tc>
        <w:tc>
          <w:tcPr>
            <w:tcW w:w="1125" w:type="dxa"/>
          </w:tcPr>
          <w:p>
            <w:pPr>
              <w:pStyle w:val="TableParagraph"/>
              <w:spacing w:before="38"/>
              <w:ind w:right="56"/>
              <w:rPr>
                <w:b/>
                <w:sz w:val="16"/>
              </w:rPr>
            </w:pPr>
            <w:r>
              <w:rPr>
                <w:b/>
                <w:w w:val="101"/>
                <w:sz w:val="16"/>
              </w:rPr>
              <w:t>-</w:t>
            </w:r>
          </w:p>
        </w:tc>
        <w:tc>
          <w:tcPr>
            <w:tcW w:w="1135" w:type="dxa"/>
          </w:tcPr>
          <w:p>
            <w:pPr>
              <w:pStyle w:val="TableParagraph"/>
              <w:spacing w:before="38"/>
              <w:ind w:right="52"/>
              <w:rPr>
                <w:b/>
                <w:sz w:val="16"/>
              </w:rPr>
            </w:pPr>
            <w:r>
              <w:rPr>
                <w:b/>
                <w:sz w:val="16"/>
              </w:rPr>
              <w:t>11.788,11</w:t>
            </w:r>
          </w:p>
        </w:tc>
        <w:tc>
          <w:tcPr>
            <w:tcW w:w="1135" w:type="dxa"/>
          </w:tcPr>
          <w:p>
            <w:pPr>
              <w:pStyle w:val="TableParagraph"/>
              <w:spacing w:before="38"/>
              <w:ind w:right="55"/>
              <w:rPr>
                <w:b/>
                <w:sz w:val="16"/>
              </w:rPr>
            </w:pPr>
            <w:r>
              <w:rPr>
                <w:b/>
                <w:w w:val="101"/>
                <w:sz w:val="16"/>
              </w:rPr>
              <w:t>-</w:t>
            </w:r>
          </w:p>
        </w:tc>
        <w:tc>
          <w:tcPr>
            <w:tcW w:w="1135" w:type="dxa"/>
          </w:tcPr>
          <w:p>
            <w:pPr>
              <w:pStyle w:val="TableParagraph"/>
              <w:spacing w:before="38"/>
              <w:ind w:right="58"/>
              <w:rPr>
                <w:b/>
                <w:sz w:val="16"/>
              </w:rPr>
            </w:pPr>
            <w:r>
              <w:rPr>
                <w:b/>
                <w:sz w:val="16"/>
              </w:rPr>
              <w:t>11.788,11</w:t>
            </w:r>
          </w:p>
        </w:tc>
      </w:tr>
      <w:tr>
        <w:trPr>
          <w:trHeight w:val="253" w:hRule="atLeast"/>
        </w:trPr>
        <w:tc>
          <w:tcPr>
            <w:tcW w:w="4120" w:type="dxa"/>
            <w:tcBorders>
              <w:bottom w:val="nil"/>
            </w:tcBorders>
          </w:tcPr>
          <w:p>
            <w:pPr>
              <w:pStyle w:val="TableParagraph"/>
              <w:spacing w:before="31"/>
              <w:ind w:left="73"/>
              <w:jc w:val="left"/>
              <w:rPr>
                <w:sz w:val="16"/>
              </w:rPr>
            </w:pPr>
            <w:r>
              <w:rPr>
                <w:sz w:val="16"/>
              </w:rPr>
              <w:t>(+) Corrección valorativa por deterioro</w:t>
            </w:r>
          </w:p>
        </w:tc>
        <w:tc>
          <w:tcPr>
            <w:tcW w:w="1125" w:type="dxa"/>
          </w:tcPr>
          <w:p>
            <w:pPr>
              <w:pStyle w:val="TableParagraph"/>
              <w:spacing w:before="31"/>
              <w:ind w:right="56"/>
              <w:rPr>
                <w:sz w:val="16"/>
              </w:rPr>
            </w:pPr>
            <w:r>
              <w:rPr>
                <w:w w:val="101"/>
                <w:sz w:val="16"/>
              </w:rPr>
              <w:t>-</w:t>
            </w:r>
          </w:p>
        </w:tc>
        <w:tc>
          <w:tcPr>
            <w:tcW w:w="1135" w:type="dxa"/>
          </w:tcPr>
          <w:p>
            <w:pPr>
              <w:pStyle w:val="TableParagraph"/>
              <w:spacing w:before="31"/>
              <w:ind w:right="55"/>
              <w:rPr>
                <w:sz w:val="16"/>
              </w:rPr>
            </w:pPr>
            <w:r>
              <w:rPr>
                <w:w w:val="101"/>
                <w:sz w:val="16"/>
              </w:rPr>
              <w:t>-</w:t>
            </w:r>
          </w:p>
        </w:tc>
        <w:tc>
          <w:tcPr>
            <w:tcW w:w="1135" w:type="dxa"/>
          </w:tcPr>
          <w:p>
            <w:pPr>
              <w:pStyle w:val="TableParagraph"/>
              <w:spacing w:before="31"/>
              <w:ind w:right="55"/>
              <w:rPr>
                <w:sz w:val="16"/>
              </w:rPr>
            </w:pPr>
            <w:r>
              <w:rPr>
                <w:w w:val="101"/>
                <w:sz w:val="16"/>
              </w:rPr>
              <w:t>-</w:t>
            </w:r>
          </w:p>
        </w:tc>
        <w:tc>
          <w:tcPr>
            <w:tcW w:w="1135" w:type="dxa"/>
          </w:tcPr>
          <w:p>
            <w:pPr>
              <w:pStyle w:val="TableParagraph"/>
              <w:spacing w:before="31"/>
              <w:ind w:right="61"/>
              <w:rPr>
                <w:sz w:val="16"/>
              </w:rPr>
            </w:pPr>
            <w:r>
              <w:rPr>
                <w:w w:val="101"/>
                <w:sz w:val="16"/>
              </w:rPr>
              <w:t>-</w:t>
            </w:r>
          </w:p>
        </w:tc>
      </w:tr>
      <w:tr>
        <w:trPr>
          <w:trHeight w:val="259" w:hRule="atLeast"/>
        </w:trPr>
        <w:tc>
          <w:tcPr>
            <w:tcW w:w="4120" w:type="dxa"/>
            <w:tcBorders>
              <w:top w:val="nil"/>
              <w:bottom w:val="nil"/>
            </w:tcBorders>
          </w:tcPr>
          <w:p>
            <w:pPr>
              <w:pStyle w:val="TableParagraph"/>
              <w:spacing w:before="30"/>
              <w:ind w:left="73"/>
              <w:jc w:val="left"/>
              <w:rPr>
                <w:sz w:val="16"/>
              </w:rPr>
            </w:pPr>
            <w:r>
              <w:rPr>
                <w:sz w:val="16"/>
              </w:rPr>
              <w:t>(-) Reversión del deterioro</w:t>
            </w:r>
          </w:p>
        </w:tc>
        <w:tc>
          <w:tcPr>
            <w:tcW w:w="1125" w:type="dxa"/>
          </w:tcPr>
          <w:p>
            <w:pPr>
              <w:pStyle w:val="TableParagraph"/>
              <w:spacing w:before="30"/>
              <w:ind w:right="56"/>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61"/>
              <w:rPr>
                <w:sz w:val="16"/>
              </w:rPr>
            </w:pPr>
            <w:r>
              <w:rPr>
                <w:w w:val="101"/>
                <w:sz w:val="16"/>
              </w:rPr>
              <w:t>-</w:t>
            </w:r>
          </w:p>
        </w:tc>
      </w:tr>
      <w:tr>
        <w:trPr>
          <w:trHeight w:val="252" w:hRule="atLeast"/>
        </w:trPr>
        <w:tc>
          <w:tcPr>
            <w:tcW w:w="4120" w:type="dxa"/>
            <w:tcBorders>
              <w:top w:val="nil"/>
              <w:bottom w:val="nil"/>
            </w:tcBorders>
          </w:tcPr>
          <w:p>
            <w:pPr>
              <w:pStyle w:val="TableParagraph"/>
              <w:spacing w:before="30"/>
              <w:ind w:left="73"/>
              <w:jc w:val="left"/>
              <w:rPr>
                <w:sz w:val="16"/>
              </w:rPr>
            </w:pPr>
            <w:r>
              <w:rPr>
                <w:sz w:val="16"/>
              </w:rPr>
              <w:t>(-) Salidas y reducciones</w:t>
            </w:r>
          </w:p>
        </w:tc>
        <w:tc>
          <w:tcPr>
            <w:tcW w:w="1125" w:type="dxa"/>
          </w:tcPr>
          <w:p>
            <w:pPr>
              <w:pStyle w:val="TableParagraph"/>
              <w:spacing w:before="30"/>
              <w:ind w:right="56"/>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61"/>
              <w:rPr>
                <w:sz w:val="16"/>
              </w:rPr>
            </w:pPr>
            <w:r>
              <w:rPr>
                <w:w w:val="101"/>
                <w:sz w:val="16"/>
              </w:rPr>
              <w:t>-</w:t>
            </w:r>
          </w:p>
        </w:tc>
      </w:tr>
      <w:tr>
        <w:trPr>
          <w:trHeight w:val="252" w:hRule="atLeast"/>
        </w:trPr>
        <w:tc>
          <w:tcPr>
            <w:tcW w:w="4120" w:type="dxa"/>
            <w:tcBorders>
              <w:top w:val="nil"/>
            </w:tcBorders>
          </w:tcPr>
          <w:p>
            <w:pPr>
              <w:pStyle w:val="TableParagraph"/>
              <w:spacing w:before="30"/>
              <w:ind w:left="73"/>
              <w:jc w:val="left"/>
              <w:rPr>
                <w:sz w:val="16"/>
              </w:rPr>
            </w:pPr>
            <w:r>
              <w:rPr>
                <w:sz w:val="16"/>
              </w:rPr>
              <w:t>(+/-) Traspaso y otras variaciones</w:t>
            </w:r>
          </w:p>
        </w:tc>
        <w:tc>
          <w:tcPr>
            <w:tcW w:w="1125" w:type="dxa"/>
          </w:tcPr>
          <w:p>
            <w:pPr>
              <w:pStyle w:val="TableParagraph"/>
              <w:spacing w:before="30"/>
              <w:ind w:right="56"/>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55"/>
              <w:rPr>
                <w:sz w:val="16"/>
              </w:rPr>
            </w:pPr>
            <w:r>
              <w:rPr>
                <w:w w:val="101"/>
                <w:sz w:val="16"/>
              </w:rPr>
              <w:t>-</w:t>
            </w:r>
          </w:p>
        </w:tc>
        <w:tc>
          <w:tcPr>
            <w:tcW w:w="1135" w:type="dxa"/>
          </w:tcPr>
          <w:p>
            <w:pPr>
              <w:pStyle w:val="TableParagraph"/>
              <w:spacing w:before="30"/>
              <w:ind w:right="61"/>
              <w:rPr>
                <w:sz w:val="16"/>
              </w:rPr>
            </w:pPr>
            <w:r>
              <w:rPr>
                <w:w w:val="101"/>
                <w:sz w:val="16"/>
              </w:rPr>
              <w:t>-</w:t>
            </w:r>
          </w:p>
        </w:tc>
      </w:tr>
      <w:tr>
        <w:trPr>
          <w:trHeight w:val="260" w:hRule="atLeast"/>
        </w:trPr>
        <w:tc>
          <w:tcPr>
            <w:tcW w:w="4120" w:type="dxa"/>
          </w:tcPr>
          <w:p>
            <w:pPr>
              <w:pStyle w:val="TableParagraph"/>
              <w:spacing w:before="31"/>
              <w:ind w:left="73"/>
              <w:jc w:val="left"/>
              <w:rPr>
                <w:b/>
                <w:sz w:val="16"/>
              </w:rPr>
            </w:pPr>
            <w:r>
              <w:rPr>
                <w:b/>
                <w:sz w:val="16"/>
              </w:rPr>
              <w:t>Pérdida por deterioro al final del ejercicio 2024</w:t>
            </w:r>
          </w:p>
        </w:tc>
        <w:tc>
          <w:tcPr>
            <w:tcW w:w="1125" w:type="dxa"/>
          </w:tcPr>
          <w:p>
            <w:pPr>
              <w:pStyle w:val="TableParagraph"/>
              <w:spacing w:before="31"/>
              <w:ind w:right="56"/>
              <w:rPr>
                <w:b/>
                <w:sz w:val="16"/>
              </w:rPr>
            </w:pPr>
            <w:r>
              <w:rPr>
                <w:b/>
                <w:w w:val="101"/>
                <w:sz w:val="16"/>
              </w:rPr>
              <w:t>-</w:t>
            </w:r>
          </w:p>
        </w:tc>
        <w:tc>
          <w:tcPr>
            <w:tcW w:w="1135" w:type="dxa"/>
          </w:tcPr>
          <w:p>
            <w:pPr>
              <w:pStyle w:val="TableParagraph"/>
              <w:spacing w:before="31"/>
              <w:ind w:right="52"/>
              <w:rPr>
                <w:b/>
                <w:sz w:val="16"/>
              </w:rPr>
            </w:pPr>
            <w:r>
              <w:rPr>
                <w:b/>
                <w:sz w:val="16"/>
              </w:rPr>
              <w:t>11.788,11</w:t>
            </w:r>
          </w:p>
        </w:tc>
        <w:tc>
          <w:tcPr>
            <w:tcW w:w="1135" w:type="dxa"/>
          </w:tcPr>
          <w:p>
            <w:pPr>
              <w:pStyle w:val="TableParagraph"/>
              <w:spacing w:before="31"/>
              <w:ind w:right="55"/>
              <w:rPr>
                <w:b/>
                <w:sz w:val="16"/>
              </w:rPr>
            </w:pPr>
            <w:r>
              <w:rPr>
                <w:b/>
                <w:w w:val="101"/>
                <w:sz w:val="16"/>
              </w:rPr>
              <w:t>-</w:t>
            </w:r>
          </w:p>
        </w:tc>
        <w:tc>
          <w:tcPr>
            <w:tcW w:w="1135" w:type="dxa"/>
          </w:tcPr>
          <w:p>
            <w:pPr>
              <w:pStyle w:val="TableParagraph"/>
              <w:spacing w:before="31"/>
              <w:ind w:right="58"/>
              <w:rPr>
                <w:b/>
                <w:sz w:val="16"/>
              </w:rPr>
            </w:pPr>
            <w:r>
              <w:rPr>
                <w:b/>
                <w:sz w:val="16"/>
              </w:rPr>
              <w:t>11.788,11</w:t>
            </w:r>
          </w:p>
        </w:tc>
      </w:tr>
    </w:tbl>
    <w:p>
      <w:pPr>
        <w:pStyle w:val="BodyText"/>
        <w:spacing w:before="2"/>
        <w:rPr>
          <w:sz w:val="8"/>
        </w:rPr>
      </w:pPr>
    </w:p>
    <w:p>
      <w:pPr>
        <w:pStyle w:val="BodyText"/>
        <w:spacing w:line="302" w:lineRule="auto" w:before="72"/>
        <w:ind w:left="403" w:right="413"/>
        <w:jc w:val="both"/>
      </w:pPr>
      <w:r>
        <w:rPr>
          <w:w w:val="105"/>
        </w:rPr>
        <w:t>En el ejercicio 2024 se han registrado pérdidas por créditos comerciales incobrables por importe total de 789,11 euros (0,00 euros en el ejercicio anterior) (Nota 10.d).</w:t>
      </w:r>
    </w:p>
    <w:p>
      <w:pPr>
        <w:pStyle w:val="BodyText"/>
        <w:spacing w:before="9"/>
        <w:rPr>
          <w:sz w:val="18"/>
        </w:rPr>
      </w:pPr>
    </w:p>
    <w:p>
      <w:pPr>
        <w:pStyle w:val="Heading3"/>
        <w:numPr>
          <w:ilvl w:val="0"/>
          <w:numId w:val="8"/>
        </w:numPr>
        <w:tabs>
          <w:tab w:pos="971" w:val="left" w:leader="none"/>
          <w:tab w:pos="972" w:val="left" w:leader="none"/>
        </w:tabs>
        <w:spacing w:line="240" w:lineRule="auto" w:before="0" w:after="0"/>
        <w:ind w:left="971" w:right="0" w:hanging="569"/>
        <w:jc w:val="left"/>
      </w:pPr>
      <w:r>
        <w:rPr>
          <w:w w:val="105"/>
        </w:rPr>
        <w:t>Activos financieros designados a valor razonable con cambios en </w:t>
      </w:r>
      <w:r>
        <w:rPr>
          <w:spacing w:val="2"/>
          <w:w w:val="105"/>
        </w:rPr>
        <w:t>la </w:t>
      </w:r>
      <w:r>
        <w:rPr>
          <w:w w:val="105"/>
        </w:rPr>
        <w:t>cuenta de pérdidas y</w:t>
      </w:r>
      <w:r>
        <w:rPr>
          <w:spacing w:val="11"/>
          <w:w w:val="105"/>
        </w:rPr>
        <w:t> </w:t>
      </w:r>
      <w:r>
        <w:rPr>
          <w:w w:val="105"/>
        </w:rPr>
        <w:t>ganancias.</w:t>
      </w:r>
    </w:p>
    <w:p>
      <w:pPr>
        <w:pStyle w:val="BodyText"/>
        <w:spacing w:before="5"/>
        <w:rPr>
          <w:b/>
          <w:sz w:val="14"/>
        </w:rPr>
      </w:pPr>
    </w:p>
    <w:p>
      <w:pPr>
        <w:pStyle w:val="BodyText"/>
        <w:spacing w:line="304" w:lineRule="auto"/>
        <w:ind w:left="403" w:right="431"/>
        <w:jc w:val="both"/>
      </w:pPr>
      <w:r>
        <w:rPr>
          <w:w w:val="105"/>
        </w:rPr>
        <w:t>En el ejercicio 2024 y 2023 no se han registrado activos financieros a valor razonable con cambios en la cuenta de pérdidas y ganancias</w:t>
      </w:r>
    </w:p>
    <w:p>
      <w:pPr>
        <w:pStyle w:val="BodyText"/>
        <w:rPr>
          <w:sz w:val="19"/>
        </w:rPr>
      </w:pPr>
    </w:p>
    <w:p>
      <w:pPr>
        <w:pStyle w:val="Heading3"/>
        <w:numPr>
          <w:ilvl w:val="0"/>
          <w:numId w:val="8"/>
        </w:numPr>
        <w:tabs>
          <w:tab w:pos="971" w:val="left" w:leader="none"/>
          <w:tab w:pos="972" w:val="left" w:leader="none"/>
        </w:tabs>
        <w:spacing w:line="240" w:lineRule="auto" w:before="0" w:after="0"/>
        <w:ind w:left="971" w:right="0" w:hanging="569"/>
        <w:jc w:val="left"/>
      </w:pPr>
      <w:r>
        <w:rPr>
          <w:w w:val="105"/>
        </w:rPr>
        <w:t>Empresas del grupo, multigrupo y</w:t>
      </w:r>
      <w:r>
        <w:rPr>
          <w:spacing w:val="7"/>
          <w:w w:val="105"/>
        </w:rPr>
        <w:t> </w:t>
      </w:r>
      <w:r>
        <w:rPr>
          <w:w w:val="105"/>
        </w:rPr>
        <w:t>asociadas</w:t>
      </w:r>
    </w:p>
    <w:p>
      <w:pPr>
        <w:pStyle w:val="BodyText"/>
        <w:spacing w:before="5"/>
        <w:rPr>
          <w:b/>
          <w:sz w:val="14"/>
        </w:rPr>
      </w:pPr>
    </w:p>
    <w:p>
      <w:pPr>
        <w:pStyle w:val="BodyText"/>
        <w:spacing w:line="302" w:lineRule="auto"/>
        <w:ind w:left="403" w:right="437"/>
        <w:jc w:val="both"/>
      </w:pPr>
      <w:r>
        <w:rPr>
          <w:w w:val="105"/>
        </w:rPr>
        <w:t>A efectos de la presentación de las Cuentas Anuales de una empresa o sociedad se entenderá que otra empresa forma parte del grupo cuando ambas estén vinculadas por una relación de control, directa o indirecta, análoga a la prevista en el artículo 42 del Código de Comercio para los grupos de sociedades o cuando las empresas estén controladas por cualquier medio por una o varias personas físicas o jurídicas, que actúen conjuntamente o se hallen bajo dirección única por acuerdos o cláusulas estatutarias.</w:t>
      </w:r>
    </w:p>
    <w:p>
      <w:pPr>
        <w:pStyle w:val="BodyText"/>
        <w:spacing w:line="304" w:lineRule="auto" w:before="112" w:after="60"/>
        <w:ind w:left="403" w:right="412"/>
        <w:jc w:val="both"/>
      </w:pPr>
      <w:r>
        <w:rPr>
          <w:w w:val="105"/>
        </w:rPr>
        <w:t>La información sobre empresas del grupo cuando estén vinculadas por una relación de control, directa o indirecta, análoga a la prevista en el artículo 42 del Código de Comercio para los grupos de sociedades en el ejercicio 2024 se detalla en los siguientes cuadros:</w:t>
      </w: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7"/>
        <w:gridCol w:w="2392"/>
        <w:gridCol w:w="1072"/>
        <w:gridCol w:w="695"/>
        <w:gridCol w:w="887"/>
        <w:gridCol w:w="617"/>
        <w:gridCol w:w="674"/>
        <w:gridCol w:w="752"/>
        <w:gridCol w:w="674"/>
      </w:tblGrid>
      <w:tr>
        <w:trPr>
          <w:trHeight w:val="273" w:hRule="atLeast"/>
        </w:trPr>
        <w:tc>
          <w:tcPr>
            <w:tcW w:w="887" w:type="dxa"/>
            <w:vMerge w:val="restart"/>
            <w:shd w:val="clear" w:color="auto" w:fill="D9D9D9"/>
          </w:tcPr>
          <w:p>
            <w:pPr>
              <w:pStyle w:val="TableParagraph"/>
              <w:spacing w:before="0"/>
              <w:jc w:val="left"/>
              <w:rPr>
                <w:sz w:val="16"/>
              </w:rPr>
            </w:pPr>
          </w:p>
          <w:p>
            <w:pPr>
              <w:pStyle w:val="TableParagraph"/>
              <w:spacing w:before="3"/>
              <w:jc w:val="left"/>
              <w:rPr>
                <w:sz w:val="13"/>
              </w:rPr>
            </w:pPr>
          </w:p>
          <w:p>
            <w:pPr>
              <w:pStyle w:val="TableParagraph"/>
              <w:spacing w:line="173" w:lineRule="exact" w:before="0"/>
              <w:ind w:left="318" w:right="300"/>
              <w:jc w:val="center"/>
              <w:rPr>
                <w:sz w:val="16"/>
              </w:rPr>
            </w:pPr>
            <w:r>
              <w:rPr>
                <w:sz w:val="16"/>
              </w:rPr>
              <w:t>NIF</w:t>
            </w:r>
          </w:p>
        </w:tc>
        <w:tc>
          <w:tcPr>
            <w:tcW w:w="2392" w:type="dxa"/>
            <w:vMerge w:val="restart"/>
            <w:shd w:val="clear" w:color="auto" w:fill="D9D9D9"/>
          </w:tcPr>
          <w:p>
            <w:pPr>
              <w:pStyle w:val="TableParagraph"/>
              <w:spacing w:before="0"/>
              <w:jc w:val="left"/>
              <w:rPr>
                <w:sz w:val="16"/>
              </w:rPr>
            </w:pPr>
          </w:p>
          <w:p>
            <w:pPr>
              <w:pStyle w:val="TableParagraph"/>
              <w:spacing w:before="3"/>
              <w:jc w:val="left"/>
              <w:rPr>
                <w:sz w:val="13"/>
              </w:rPr>
            </w:pPr>
          </w:p>
          <w:p>
            <w:pPr>
              <w:pStyle w:val="TableParagraph"/>
              <w:spacing w:line="173" w:lineRule="exact" w:before="0"/>
              <w:ind w:left="719"/>
              <w:jc w:val="left"/>
              <w:rPr>
                <w:sz w:val="16"/>
              </w:rPr>
            </w:pPr>
            <w:r>
              <w:rPr>
                <w:sz w:val="16"/>
              </w:rPr>
              <w:t>Denominación</w:t>
            </w:r>
          </w:p>
        </w:tc>
        <w:tc>
          <w:tcPr>
            <w:tcW w:w="1072" w:type="dxa"/>
            <w:vMerge w:val="restart"/>
            <w:shd w:val="clear" w:color="auto" w:fill="D9D9D9"/>
          </w:tcPr>
          <w:p>
            <w:pPr>
              <w:pStyle w:val="TableParagraph"/>
              <w:spacing w:before="0"/>
              <w:jc w:val="left"/>
              <w:rPr>
                <w:sz w:val="16"/>
              </w:rPr>
            </w:pPr>
          </w:p>
          <w:p>
            <w:pPr>
              <w:pStyle w:val="TableParagraph"/>
              <w:spacing w:before="3"/>
              <w:jc w:val="left"/>
              <w:rPr>
                <w:sz w:val="13"/>
              </w:rPr>
            </w:pPr>
          </w:p>
          <w:p>
            <w:pPr>
              <w:pStyle w:val="TableParagraph"/>
              <w:spacing w:line="173" w:lineRule="exact" w:before="0"/>
              <w:ind w:left="229"/>
              <w:jc w:val="left"/>
              <w:rPr>
                <w:sz w:val="16"/>
              </w:rPr>
            </w:pPr>
            <w:r>
              <w:rPr>
                <w:sz w:val="16"/>
              </w:rPr>
              <w:t>Domicilio</w:t>
            </w:r>
          </w:p>
        </w:tc>
        <w:tc>
          <w:tcPr>
            <w:tcW w:w="695" w:type="dxa"/>
            <w:vMerge w:val="restart"/>
            <w:shd w:val="clear" w:color="auto" w:fill="D9D9D9"/>
          </w:tcPr>
          <w:p>
            <w:pPr>
              <w:pStyle w:val="TableParagraph"/>
              <w:spacing w:before="5"/>
              <w:jc w:val="left"/>
              <w:rPr>
                <w:sz w:val="13"/>
              </w:rPr>
            </w:pPr>
          </w:p>
          <w:p>
            <w:pPr>
              <w:pStyle w:val="TableParagraph"/>
              <w:spacing w:line="192" w:lineRule="exact" w:before="0"/>
              <w:ind w:left="94" w:right="78" w:firstLine="35"/>
              <w:jc w:val="left"/>
              <w:rPr>
                <w:sz w:val="16"/>
              </w:rPr>
            </w:pPr>
            <w:r>
              <w:rPr>
                <w:sz w:val="16"/>
              </w:rPr>
              <w:t>Forma Jurídica</w:t>
            </w:r>
          </w:p>
        </w:tc>
        <w:tc>
          <w:tcPr>
            <w:tcW w:w="887" w:type="dxa"/>
            <w:vMerge w:val="restart"/>
            <w:shd w:val="clear" w:color="auto" w:fill="D9D9D9"/>
          </w:tcPr>
          <w:p>
            <w:pPr>
              <w:pStyle w:val="TableParagraph"/>
              <w:spacing w:before="5"/>
              <w:jc w:val="left"/>
              <w:rPr>
                <w:sz w:val="13"/>
              </w:rPr>
            </w:pPr>
          </w:p>
          <w:p>
            <w:pPr>
              <w:pStyle w:val="TableParagraph"/>
              <w:spacing w:line="192" w:lineRule="exact" w:before="0"/>
              <w:ind w:left="258" w:right="44" w:hanging="192"/>
              <w:jc w:val="left"/>
              <w:rPr>
                <w:sz w:val="16"/>
              </w:rPr>
            </w:pPr>
            <w:r>
              <w:rPr>
                <w:sz w:val="16"/>
              </w:rPr>
              <w:t>Actividades CNAE</w:t>
            </w:r>
          </w:p>
        </w:tc>
        <w:tc>
          <w:tcPr>
            <w:tcW w:w="1291" w:type="dxa"/>
            <w:gridSpan w:val="2"/>
            <w:shd w:val="clear" w:color="auto" w:fill="D9D9D9"/>
          </w:tcPr>
          <w:p>
            <w:pPr>
              <w:pStyle w:val="TableParagraph"/>
              <w:spacing w:line="173" w:lineRule="exact" w:before="80"/>
              <w:ind w:left="372"/>
              <w:jc w:val="left"/>
              <w:rPr>
                <w:sz w:val="16"/>
              </w:rPr>
            </w:pPr>
            <w:r>
              <w:rPr>
                <w:sz w:val="16"/>
              </w:rPr>
              <w:t>%capital</w:t>
            </w:r>
          </w:p>
        </w:tc>
        <w:tc>
          <w:tcPr>
            <w:tcW w:w="1426" w:type="dxa"/>
            <w:gridSpan w:val="2"/>
            <w:shd w:val="clear" w:color="auto" w:fill="D9D9D9"/>
          </w:tcPr>
          <w:p>
            <w:pPr>
              <w:pStyle w:val="TableParagraph"/>
              <w:spacing w:line="173" w:lineRule="exact" w:before="80"/>
              <w:ind w:left="74"/>
              <w:jc w:val="left"/>
              <w:rPr>
                <w:sz w:val="16"/>
              </w:rPr>
            </w:pPr>
            <w:r>
              <w:rPr>
                <w:sz w:val="16"/>
              </w:rPr>
              <w:t>% derechos de voto</w:t>
            </w:r>
          </w:p>
        </w:tc>
      </w:tr>
      <w:tr>
        <w:trPr>
          <w:trHeight w:val="266" w:hRule="atLeast"/>
        </w:trPr>
        <w:tc>
          <w:tcPr>
            <w:tcW w:w="887" w:type="dxa"/>
            <w:vMerge/>
            <w:tcBorders>
              <w:top w:val="nil"/>
            </w:tcBorders>
            <w:shd w:val="clear" w:color="auto" w:fill="D9D9D9"/>
          </w:tcPr>
          <w:p>
            <w:pPr>
              <w:rPr>
                <w:sz w:val="2"/>
                <w:szCs w:val="2"/>
              </w:rPr>
            </w:pPr>
          </w:p>
        </w:tc>
        <w:tc>
          <w:tcPr>
            <w:tcW w:w="2392" w:type="dxa"/>
            <w:vMerge/>
            <w:tcBorders>
              <w:top w:val="nil"/>
            </w:tcBorders>
            <w:shd w:val="clear" w:color="auto" w:fill="D9D9D9"/>
          </w:tcPr>
          <w:p>
            <w:pPr>
              <w:rPr>
                <w:sz w:val="2"/>
                <w:szCs w:val="2"/>
              </w:rPr>
            </w:pPr>
          </w:p>
        </w:tc>
        <w:tc>
          <w:tcPr>
            <w:tcW w:w="1072" w:type="dxa"/>
            <w:vMerge/>
            <w:tcBorders>
              <w:top w:val="nil"/>
            </w:tcBorders>
            <w:shd w:val="clear" w:color="auto" w:fill="D9D9D9"/>
          </w:tcPr>
          <w:p>
            <w:pPr>
              <w:rPr>
                <w:sz w:val="2"/>
                <w:szCs w:val="2"/>
              </w:rPr>
            </w:pPr>
          </w:p>
        </w:tc>
        <w:tc>
          <w:tcPr>
            <w:tcW w:w="695" w:type="dxa"/>
            <w:vMerge/>
            <w:tcBorders>
              <w:top w:val="nil"/>
            </w:tcBorders>
            <w:shd w:val="clear" w:color="auto" w:fill="D9D9D9"/>
          </w:tcPr>
          <w:p>
            <w:pPr>
              <w:rPr>
                <w:sz w:val="2"/>
                <w:szCs w:val="2"/>
              </w:rPr>
            </w:pPr>
          </w:p>
        </w:tc>
        <w:tc>
          <w:tcPr>
            <w:tcW w:w="887" w:type="dxa"/>
            <w:vMerge/>
            <w:tcBorders>
              <w:top w:val="nil"/>
            </w:tcBorders>
            <w:shd w:val="clear" w:color="auto" w:fill="D9D9D9"/>
          </w:tcPr>
          <w:p>
            <w:pPr>
              <w:rPr>
                <w:sz w:val="2"/>
                <w:szCs w:val="2"/>
              </w:rPr>
            </w:pPr>
          </w:p>
        </w:tc>
        <w:tc>
          <w:tcPr>
            <w:tcW w:w="617" w:type="dxa"/>
            <w:shd w:val="clear" w:color="auto" w:fill="D9D9D9"/>
          </w:tcPr>
          <w:p>
            <w:pPr>
              <w:pStyle w:val="TableParagraph"/>
              <w:spacing w:line="173" w:lineRule="exact" w:before="73"/>
              <w:ind w:left="50" w:right="40"/>
              <w:jc w:val="center"/>
              <w:rPr>
                <w:sz w:val="16"/>
              </w:rPr>
            </w:pPr>
            <w:r>
              <w:rPr>
                <w:sz w:val="16"/>
              </w:rPr>
              <w:t>Directo</w:t>
            </w:r>
          </w:p>
        </w:tc>
        <w:tc>
          <w:tcPr>
            <w:tcW w:w="674" w:type="dxa"/>
            <w:shd w:val="clear" w:color="auto" w:fill="D9D9D9"/>
          </w:tcPr>
          <w:p>
            <w:pPr>
              <w:pStyle w:val="TableParagraph"/>
              <w:spacing w:line="173" w:lineRule="exact" w:before="73"/>
              <w:ind w:left="190" w:right="182"/>
              <w:jc w:val="center"/>
              <w:rPr>
                <w:sz w:val="16"/>
              </w:rPr>
            </w:pPr>
            <w:r>
              <w:rPr>
                <w:sz w:val="16"/>
              </w:rPr>
              <w:t>Ind.</w:t>
            </w:r>
          </w:p>
        </w:tc>
        <w:tc>
          <w:tcPr>
            <w:tcW w:w="752" w:type="dxa"/>
            <w:shd w:val="clear" w:color="auto" w:fill="D9D9D9"/>
          </w:tcPr>
          <w:p>
            <w:pPr>
              <w:pStyle w:val="TableParagraph"/>
              <w:spacing w:line="173" w:lineRule="exact" w:before="73"/>
              <w:ind w:left="121" w:right="104"/>
              <w:jc w:val="center"/>
              <w:rPr>
                <w:sz w:val="16"/>
              </w:rPr>
            </w:pPr>
            <w:r>
              <w:rPr>
                <w:sz w:val="16"/>
              </w:rPr>
              <w:t>Directo</w:t>
            </w:r>
          </w:p>
        </w:tc>
        <w:tc>
          <w:tcPr>
            <w:tcW w:w="674" w:type="dxa"/>
            <w:shd w:val="clear" w:color="auto" w:fill="D9D9D9"/>
          </w:tcPr>
          <w:p>
            <w:pPr>
              <w:pStyle w:val="TableParagraph"/>
              <w:spacing w:line="173" w:lineRule="exact" w:before="73"/>
              <w:ind w:left="191" w:right="181"/>
              <w:jc w:val="center"/>
              <w:rPr>
                <w:sz w:val="16"/>
              </w:rPr>
            </w:pPr>
            <w:r>
              <w:rPr>
                <w:sz w:val="16"/>
              </w:rPr>
              <w:t>Ind.</w:t>
            </w:r>
          </w:p>
        </w:tc>
      </w:tr>
      <w:tr>
        <w:trPr>
          <w:trHeight w:val="402" w:hRule="atLeast"/>
        </w:trPr>
        <w:tc>
          <w:tcPr>
            <w:tcW w:w="887" w:type="dxa"/>
          </w:tcPr>
          <w:p>
            <w:pPr>
              <w:pStyle w:val="TableParagraph"/>
              <w:spacing w:before="109"/>
              <w:ind w:left="73"/>
              <w:jc w:val="left"/>
              <w:rPr>
                <w:sz w:val="16"/>
              </w:rPr>
            </w:pPr>
            <w:r>
              <w:rPr>
                <w:sz w:val="16"/>
              </w:rPr>
              <w:t>P3803100A</w:t>
            </w:r>
          </w:p>
        </w:tc>
        <w:tc>
          <w:tcPr>
            <w:tcW w:w="2392" w:type="dxa"/>
          </w:tcPr>
          <w:p>
            <w:pPr>
              <w:pStyle w:val="TableParagraph"/>
              <w:spacing w:before="109"/>
              <w:ind w:left="66"/>
              <w:jc w:val="left"/>
              <w:rPr>
                <w:sz w:val="16"/>
              </w:rPr>
            </w:pPr>
            <w:r>
              <w:rPr>
                <w:sz w:val="16"/>
              </w:rPr>
              <w:t>AYUNTAMIENTO DE LOS REALEJOS</w:t>
            </w:r>
          </w:p>
        </w:tc>
        <w:tc>
          <w:tcPr>
            <w:tcW w:w="1072" w:type="dxa"/>
          </w:tcPr>
          <w:p>
            <w:pPr>
              <w:pStyle w:val="TableParagraph"/>
              <w:spacing w:before="109"/>
              <w:ind w:left="73"/>
              <w:jc w:val="left"/>
              <w:rPr>
                <w:sz w:val="16"/>
              </w:rPr>
            </w:pPr>
            <w:r>
              <w:rPr>
                <w:sz w:val="16"/>
              </w:rPr>
              <w:t>AV. CANARIAS</w:t>
            </w:r>
          </w:p>
        </w:tc>
        <w:tc>
          <w:tcPr>
            <w:tcW w:w="695" w:type="dxa"/>
          </w:tcPr>
          <w:p>
            <w:pPr>
              <w:pStyle w:val="TableParagraph"/>
              <w:spacing w:before="0"/>
              <w:jc w:val="left"/>
              <w:rPr>
                <w:rFonts w:ascii="Times New Roman"/>
                <w:sz w:val="16"/>
              </w:rPr>
            </w:pPr>
          </w:p>
        </w:tc>
        <w:tc>
          <w:tcPr>
            <w:tcW w:w="887" w:type="dxa"/>
          </w:tcPr>
          <w:p>
            <w:pPr>
              <w:pStyle w:val="TableParagraph"/>
              <w:spacing w:before="0"/>
              <w:jc w:val="left"/>
              <w:rPr>
                <w:rFonts w:ascii="Times New Roman"/>
                <w:sz w:val="16"/>
              </w:rPr>
            </w:pPr>
          </w:p>
        </w:tc>
        <w:tc>
          <w:tcPr>
            <w:tcW w:w="617" w:type="dxa"/>
          </w:tcPr>
          <w:p>
            <w:pPr>
              <w:pStyle w:val="TableParagraph"/>
              <w:spacing w:before="109"/>
              <w:ind w:left="40" w:right="40"/>
              <w:jc w:val="center"/>
              <w:rPr>
                <w:sz w:val="16"/>
              </w:rPr>
            </w:pPr>
            <w:r>
              <w:rPr>
                <w:sz w:val="16"/>
              </w:rPr>
              <w:t>100</w:t>
            </w:r>
          </w:p>
        </w:tc>
        <w:tc>
          <w:tcPr>
            <w:tcW w:w="674" w:type="dxa"/>
          </w:tcPr>
          <w:p>
            <w:pPr>
              <w:pStyle w:val="TableParagraph"/>
              <w:spacing w:before="109"/>
              <w:ind w:left="45"/>
              <w:jc w:val="center"/>
              <w:rPr>
                <w:sz w:val="16"/>
              </w:rPr>
            </w:pPr>
            <w:r>
              <w:rPr>
                <w:w w:val="101"/>
                <w:sz w:val="16"/>
              </w:rPr>
              <w:t>-</w:t>
            </w:r>
          </w:p>
        </w:tc>
        <w:tc>
          <w:tcPr>
            <w:tcW w:w="752" w:type="dxa"/>
          </w:tcPr>
          <w:p>
            <w:pPr>
              <w:pStyle w:val="TableParagraph"/>
              <w:spacing w:before="109"/>
              <w:ind w:left="121" w:right="99"/>
              <w:jc w:val="center"/>
              <w:rPr>
                <w:sz w:val="16"/>
              </w:rPr>
            </w:pPr>
            <w:r>
              <w:rPr>
                <w:sz w:val="16"/>
              </w:rPr>
              <w:t>100</w:t>
            </w:r>
          </w:p>
        </w:tc>
        <w:tc>
          <w:tcPr>
            <w:tcW w:w="674" w:type="dxa"/>
          </w:tcPr>
          <w:p>
            <w:pPr>
              <w:pStyle w:val="TableParagraph"/>
              <w:spacing w:before="109"/>
              <w:ind w:left="33"/>
              <w:jc w:val="center"/>
              <w:rPr>
                <w:sz w:val="16"/>
              </w:rPr>
            </w:pPr>
            <w:r>
              <w:rPr>
                <w:w w:val="101"/>
                <w:sz w:val="16"/>
              </w:rPr>
              <w:t>-</w:t>
            </w:r>
          </w:p>
        </w:tc>
      </w:tr>
    </w:tbl>
    <w:p>
      <w:pPr>
        <w:pStyle w:val="BodyText"/>
        <w:rPr>
          <w:sz w:val="18"/>
        </w:rPr>
      </w:pPr>
    </w:p>
    <w:p>
      <w:pPr>
        <w:pStyle w:val="Heading1"/>
        <w:numPr>
          <w:ilvl w:val="0"/>
          <w:numId w:val="1"/>
        </w:numPr>
        <w:tabs>
          <w:tab w:pos="971" w:val="left" w:leader="none"/>
          <w:tab w:pos="972" w:val="left" w:leader="none"/>
        </w:tabs>
        <w:spacing w:line="240" w:lineRule="auto" w:before="119" w:after="0"/>
        <w:ind w:left="971" w:right="0" w:hanging="569"/>
        <w:jc w:val="left"/>
      </w:pPr>
      <w:r>
        <w:rPr/>
        <w:t>Pasivos</w:t>
      </w:r>
      <w:r>
        <w:rPr>
          <w:spacing w:val="4"/>
        </w:rPr>
        <w:t> </w:t>
      </w:r>
      <w:r>
        <w:rPr/>
        <w:t>financieros.</w:t>
      </w:r>
    </w:p>
    <w:p>
      <w:pPr>
        <w:pStyle w:val="Heading3"/>
        <w:spacing w:before="157"/>
        <w:jc w:val="both"/>
      </w:pPr>
      <w:r>
        <w:rPr>
          <w:w w:val="105"/>
        </w:rPr>
        <w:t>Clasificación por vencimientos</w:t>
      </w:r>
    </w:p>
    <w:p>
      <w:pPr>
        <w:pStyle w:val="BodyText"/>
        <w:spacing w:before="5"/>
        <w:rPr>
          <w:b/>
          <w:sz w:val="14"/>
        </w:rPr>
      </w:pPr>
    </w:p>
    <w:p>
      <w:pPr>
        <w:pStyle w:val="BodyText"/>
        <w:spacing w:line="302" w:lineRule="auto"/>
        <w:ind w:left="403" w:right="432"/>
        <w:jc w:val="both"/>
      </w:pPr>
      <w:r>
        <w:rPr>
          <w:w w:val="105"/>
        </w:rPr>
        <w:t>Las clasificaciones por vencimiento de los pasivos financieros de la Sociedad a 31 de diciembre de 2024, de los importes que venzan en cada uno de los siguientes años al cierre del ejercicio y hasta su último vencimiento.</w:t>
      </w:r>
    </w:p>
    <w:p>
      <w:pPr>
        <w:pStyle w:val="BodyText"/>
        <w:spacing w:before="3"/>
        <w:rPr>
          <w:sz w:val="5"/>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93"/>
        <w:gridCol w:w="1029"/>
        <w:gridCol w:w="687"/>
        <w:gridCol w:w="681"/>
        <w:gridCol w:w="688"/>
        <w:gridCol w:w="688"/>
        <w:gridCol w:w="688"/>
        <w:gridCol w:w="894"/>
      </w:tblGrid>
      <w:tr>
        <w:trPr>
          <w:trHeight w:val="209" w:hRule="atLeast"/>
        </w:trPr>
        <w:tc>
          <w:tcPr>
            <w:tcW w:w="3293" w:type="dxa"/>
            <w:vMerge w:val="restart"/>
            <w:tcBorders>
              <w:top w:val="nil"/>
              <w:left w:val="nil"/>
            </w:tcBorders>
          </w:tcPr>
          <w:p>
            <w:pPr>
              <w:pStyle w:val="TableParagraph"/>
              <w:spacing w:before="0"/>
              <w:jc w:val="left"/>
              <w:rPr>
                <w:rFonts w:ascii="Times New Roman"/>
                <w:sz w:val="16"/>
              </w:rPr>
            </w:pPr>
          </w:p>
        </w:tc>
        <w:tc>
          <w:tcPr>
            <w:tcW w:w="5355" w:type="dxa"/>
            <w:gridSpan w:val="7"/>
            <w:shd w:val="clear" w:color="auto" w:fill="D9D9D9"/>
          </w:tcPr>
          <w:p>
            <w:pPr>
              <w:pStyle w:val="TableParagraph"/>
              <w:spacing w:line="173" w:lineRule="exact" w:before="16"/>
              <w:ind w:left="1965" w:right="1940"/>
              <w:jc w:val="center"/>
              <w:rPr>
                <w:b/>
                <w:sz w:val="16"/>
              </w:rPr>
            </w:pPr>
            <w:r>
              <w:rPr>
                <w:b/>
                <w:sz w:val="16"/>
              </w:rPr>
              <w:t>Vencimiento en años</w:t>
            </w:r>
          </w:p>
        </w:tc>
      </w:tr>
      <w:tr>
        <w:trPr>
          <w:trHeight w:val="210" w:hRule="atLeast"/>
        </w:trPr>
        <w:tc>
          <w:tcPr>
            <w:tcW w:w="3293" w:type="dxa"/>
            <w:vMerge/>
            <w:tcBorders>
              <w:top w:val="nil"/>
              <w:left w:val="nil"/>
            </w:tcBorders>
          </w:tcPr>
          <w:p>
            <w:pPr>
              <w:rPr>
                <w:sz w:val="2"/>
                <w:szCs w:val="2"/>
              </w:rPr>
            </w:pPr>
          </w:p>
        </w:tc>
        <w:tc>
          <w:tcPr>
            <w:tcW w:w="1029" w:type="dxa"/>
            <w:shd w:val="clear" w:color="auto" w:fill="D9D9D9"/>
          </w:tcPr>
          <w:p>
            <w:pPr>
              <w:pStyle w:val="TableParagraph"/>
              <w:spacing w:line="174" w:lineRule="exact" w:before="16"/>
              <w:ind w:left="20"/>
              <w:jc w:val="center"/>
              <w:rPr>
                <w:b/>
                <w:sz w:val="16"/>
              </w:rPr>
            </w:pPr>
            <w:r>
              <w:rPr>
                <w:b/>
                <w:w w:val="101"/>
                <w:sz w:val="16"/>
              </w:rPr>
              <w:t>1</w:t>
            </w:r>
          </w:p>
        </w:tc>
        <w:tc>
          <w:tcPr>
            <w:tcW w:w="687" w:type="dxa"/>
            <w:shd w:val="clear" w:color="auto" w:fill="D9D9D9"/>
          </w:tcPr>
          <w:p>
            <w:pPr>
              <w:pStyle w:val="TableParagraph"/>
              <w:spacing w:line="174" w:lineRule="exact" w:before="16"/>
              <w:ind w:left="21"/>
              <w:jc w:val="center"/>
              <w:rPr>
                <w:b/>
                <w:sz w:val="16"/>
              </w:rPr>
            </w:pPr>
            <w:r>
              <w:rPr>
                <w:b/>
                <w:w w:val="101"/>
                <w:sz w:val="16"/>
              </w:rPr>
              <w:t>2</w:t>
            </w:r>
          </w:p>
        </w:tc>
        <w:tc>
          <w:tcPr>
            <w:tcW w:w="681" w:type="dxa"/>
            <w:shd w:val="clear" w:color="auto" w:fill="D9D9D9"/>
          </w:tcPr>
          <w:p>
            <w:pPr>
              <w:pStyle w:val="TableParagraph"/>
              <w:spacing w:line="174" w:lineRule="exact" w:before="16"/>
              <w:ind w:left="16"/>
              <w:jc w:val="center"/>
              <w:rPr>
                <w:b/>
                <w:sz w:val="16"/>
              </w:rPr>
            </w:pPr>
            <w:r>
              <w:rPr>
                <w:b/>
                <w:w w:val="101"/>
                <w:sz w:val="16"/>
              </w:rPr>
              <w:t>3</w:t>
            </w:r>
          </w:p>
        </w:tc>
        <w:tc>
          <w:tcPr>
            <w:tcW w:w="688" w:type="dxa"/>
            <w:shd w:val="clear" w:color="auto" w:fill="D9D9D9"/>
          </w:tcPr>
          <w:p>
            <w:pPr>
              <w:pStyle w:val="TableParagraph"/>
              <w:spacing w:line="174" w:lineRule="exact" w:before="16"/>
              <w:ind w:left="24"/>
              <w:jc w:val="center"/>
              <w:rPr>
                <w:b/>
                <w:sz w:val="16"/>
              </w:rPr>
            </w:pPr>
            <w:r>
              <w:rPr>
                <w:b/>
                <w:w w:val="101"/>
                <w:sz w:val="16"/>
              </w:rPr>
              <w:t>4</w:t>
            </w:r>
          </w:p>
        </w:tc>
        <w:tc>
          <w:tcPr>
            <w:tcW w:w="688" w:type="dxa"/>
            <w:shd w:val="clear" w:color="auto" w:fill="D9D9D9"/>
          </w:tcPr>
          <w:p>
            <w:pPr>
              <w:pStyle w:val="TableParagraph"/>
              <w:spacing w:line="174" w:lineRule="exact" w:before="16"/>
              <w:ind w:left="25"/>
              <w:jc w:val="center"/>
              <w:rPr>
                <w:b/>
                <w:sz w:val="16"/>
              </w:rPr>
            </w:pPr>
            <w:r>
              <w:rPr>
                <w:b/>
                <w:w w:val="101"/>
                <w:sz w:val="16"/>
              </w:rPr>
              <w:t>5</w:t>
            </w:r>
          </w:p>
        </w:tc>
        <w:tc>
          <w:tcPr>
            <w:tcW w:w="688" w:type="dxa"/>
            <w:shd w:val="clear" w:color="auto" w:fill="D9D9D9"/>
          </w:tcPr>
          <w:p>
            <w:pPr>
              <w:pStyle w:val="TableParagraph"/>
              <w:spacing w:line="174" w:lineRule="exact" w:before="16"/>
              <w:ind w:left="154"/>
              <w:jc w:val="left"/>
              <w:rPr>
                <w:b/>
                <w:sz w:val="16"/>
              </w:rPr>
            </w:pPr>
            <w:r>
              <w:rPr>
                <w:b/>
                <w:sz w:val="16"/>
              </w:rPr>
              <w:t>+ de 5</w:t>
            </w:r>
          </w:p>
        </w:tc>
        <w:tc>
          <w:tcPr>
            <w:tcW w:w="894" w:type="dxa"/>
            <w:shd w:val="clear" w:color="auto" w:fill="D9D9D9"/>
          </w:tcPr>
          <w:p>
            <w:pPr>
              <w:pStyle w:val="TableParagraph"/>
              <w:spacing w:line="174" w:lineRule="exact" w:before="16"/>
              <w:ind w:left="233"/>
              <w:jc w:val="left"/>
              <w:rPr>
                <w:b/>
                <w:sz w:val="16"/>
              </w:rPr>
            </w:pPr>
            <w:r>
              <w:rPr>
                <w:b/>
                <w:sz w:val="16"/>
              </w:rPr>
              <w:t>TOTAL</w:t>
            </w:r>
          </w:p>
        </w:tc>
      </w:tr>
      <w:tr>
        <w:trPr>
          <w:trHeight w:val="288" w:hRule="atLeast"/>
        </w:trPr>
        <w:tc>
          <w:tcPr>
            <w:tcW w:w="3293" w:type="dxa"/>
          </w:tcPr>
          <w:p>
            <w:pPr>
              <w:pStyle w:val="TableParagraph"/>
              <w:ind w:left="73"/>
              <w:jc w:val="left"/>
              <w:rPr>
                <w:b/>
                <w:sz w:val="16"/>
              </w:rPr>
            </w:pPr>
            <w:r>
              <w:rPr>
                <w:b/>
                <w:sz w:val="16"/>
              </w:rPr>
              <w:t>Deudas a corto plazo</w:t>
            </w:r>
          </w:p>
        </w:tc>
        <w:tc>
          <w:tcPr>
            <w:tcW w:w="1029" w:type="dxa"/>
          </w:tcPr>
          <w:p>
            <w:pPr>
              <w:pStyle w:val="TableParagraph"/>
              <w:ind w:right="52"/>
              <w:rPr>
                <w:b/>
                <w:sz w:val="16"/>
              </w:rPr>
            </w:pPr>
            <w:r>
              <w:rPr>
                <w:b/>
                <w:sz w:val="16"/>
              </w:rPr>
              <w:t>28.736,78</w:t>
            </w:r>
          </w:p>
        </w:tc>
        <w:tc>
          <w:tcPr>
            <w:tcW w:w="687" w:type="dxa"/>
          </w:tcPr>
          <w:p>
            <w:pPr>
              <w:pStyle w:val="TableParagraph"/>
              <w:ind w:right="54"/>
              <w:rPr>
                <w:b/>
                <w:sz w:val="16"/>
              </w:rPr>
            </w:pPr>
            <w:r>
              <w:rPr>
                <w:b/>
                <w:w w:val="101"/>
                <w:sz w:val="16"/>
              </w:rPr>
              <w:t>-</w:t>
            </w:r>
          </w:p>
        </w:tc>
        <w:tc>
          <w:tcPr>
            <w:tcW w:w="681" w:type="dxa"/>
          </w:tcPr>
          <w:p>
            <w:pPr>
              <w:pStyle w:val="TableParagraph"/>
              <w:ind w:right="54"/>
              <w:rPr>
                <w:b/>
                <w:sz w:val="16"/>
              </w:rPr>
            </w:pPr>
            <w:r>
              <w:rPr>
                <w:b/>
                <w:w w:val="101"/>
                <w:sz w:val="16"/>
              </w:rPr>
              <w:t>-</w:t>
            </w:r>
          </w:p>
        </w:tc>
        <w:tc>
          <w:tcPr>
            <w:tcW w:w="688" w:type="dxa"/>
          </w:tcPr>
          <w:p>
            <w:pPr>
              <w:pStyle w:val="TableParagraph"/>
              <w:ind w:right="53"/>
              <w:rPr>
                <w:b/>
                <w:sz w:val="16"/>
              </w:rPr>
            </w:pPr>
            <w:r>
              <w:rPr>
                <w:b/>
                <w:w w:val="101"/>
                <w:sz w:val="16"/>
              </w:rPr>
              <w:t>-</w:t>
            </w:r>
          </w:p>
        </w:tc>
        <w:tc>
          <w:tcPr>
            <w:tcW w:w="688" w:type="dxa"/>
          </w:tcPr>
          <w:p>
            <w:pPr>
              <w:pStyle w:val="TableParagraph"/>
              <w:ind w:right="53"/>
              <w:rPr>
                <w:b/>
                <w:sz w:val="16"/>
              </w:rPr>
            </w:pPr>
            <w:r>
              <w:rPr>
                <w:b/>
                <w:w w:val="101"/>
                <w:sz w:val="16"/>
              </w:rPr>
              <w:t>-</w:t>
            </w:r>
          </w:p>
        </w:tc>
        <w:tc>
          <w:tcPr>
            <w:tcW w:w="688" w:type="dxa"/>
          </w:tcPr>
          <w:p>
            <w:pPr>
              <w:pStyle w:val="TableParagraph"/>
              <w:ind w:right="45"/>
              <w:rPr>
                <w:b/>
                <w:sz w:val="16"/>
              </w:rPr>
            </w:pPr>
            <w:r>
              <w:rPr>
                <w:b/>
                <w:w w:val="101"/>
                <w:sz w:val="16"/>
              </w:rPr>
              <w:t>-</w:t>
            </w:r>
          </w:p>
        </w:tc>
        <w:tc>
          <w:tcPr>
            <w:tcW w:w="894" w:type="dxa"/>
          </w:tcPr>
          <w:p>
            <w:pPr>
              <w:pStyle w:val="TableParagraph"/>
              <w:ind w:left="176"/>
              <w:jc w:val="left"/>
              <w:rPr>
                <w:b/>
                <w:sz w:val="16"/>
              </w:rPr>
            </w:pPr>
            <w:r>
              <w:rPr>
                <w:b/>
                <w:sz w:val="16"/>
              </w:rPr>
              <w:t>28.736,78</w:t>
            </w:r>
          </w:p>
        </w:tc>
      </w:tr>
      <w:tr>
        <w:trPr>
          <w:trHeight w:val="280" w:hRule="atLeast"/>
        </w:trPr>
        <w:tc>
          <w:tcPr>
            <w:tcW w:w="3293" w:type="dxa"/>
          </w:tcPr>
          <w:p>
            <w:pPr>
              <w:pStyle w:val="TableParagraph"/>
              <w:ind w:left="214"/>
              <w:jc w:val="left"/>
              <w:rPr>
                <w:sz w:val="16"/>
              </w:rPr>
            </w:pPr>
            <w:r>
              <w:rPr>
                <w:sz w:val="16"/>
              </w:rPr>
              <w:t>Proveedores de inmovilizado</w:t>
            </w:r>
          </w:p>
        </w:tc>
        <w:tc>
          <w:tcPr>
            <w:tcW w:w="1029" w:type="dxa"/>
          </w:tcPr>
          <w:p>
            <w:pPr>
              <w:pStyle w:val="TableParagraph"/>
              <w:ind w:right="52"/>
              <w:rPr>
                <w:sz w:val="16"/>
              </w:rPr>
            </w:pPr>
            <w:r>
              <w:rPr>
                <w:sz w:val="16"/>
              </w:rPr>
              <w:t>28.736,78</w:t>
            </w:r>
          </w:p>
        </w:tc>
        <w:tc>
          <w:tcPr>
            <w:tcW w:w="687" w:type="dxa"/>
          </w:tcPr>
          <w:p>
            <w:pPr>
              <w:pStyle w:val="TableParagraph"/>
              <w:ind w:right="54"/>
              <w:rPr>
                <w:sz w:val="16"/>
              </w:rPr>
            </w:pPr>
            <w:r>
              <w:rPr>
                <w:w w:val="101"/>
                <w:sz w:val="16"/>
              </w:rPr>
              <w:t>-</w:t>
            </w:r>
          </w:p>
        </w:tc>
        <w:tc>
          <w:tcPr>
            <w:tcW w:w="681" w:type="dxa"/>
          </w:tcPr>
          <w:p>
            <w:pPr>
              <w:pStyle w:val="TableParagraph"/>
              <w:ind w:right="54"/>
              <w:rPr>
                <w:sz w:val="16"/>
              </w:rPr>
            </w:pPr>
            <w:r>
              <w:rPr>
                <w:w w:val="101"/>
                <w:sz w:val="16"/>
              </w:rPr>
              <w:t>-</w:t>
            </w:r>
          </w:p>
        </w:tc>
        <w:tc>
          <w:tcPr>
            <w:tcW w:w="688" w:type="dxa"/>
          </w:tcPr>
          <w:p>
            <w:pPr>
              <w:pStyle w:val="TableParagraph"/>
              <w:ind w:right="53"/>
              <w:rPr>
                <w:sz w:val="16"/>
              </w:rPr>
            </w:pPr>
            <w:r>
              <w:rPr>
                <w:w w:val="101"/>
                <w:sz w:val="16"/>
              </w:rPr>
              <w:t>-</w:t>
            </w:r>
          </w:p>
        </w:tc>
        <w:tc>
          <w:tcPr>
            <w:tcW w:w="688" w:type="dxa"/>
          </w:tcPr>
          <w:p>
            <w:pPr>
              <w:pStyle w:val="TableParagraph"/>
              <w:ind w:right="53"/>
              <w:rPr>
                <w:sz w:val="16"/>
              </w:rPr>
            </w:pPr>
            <w:r>
              <w:rPr>
                <w:w w:val="101"/>
                <w:sz w:val="16"/>
              </w:rPr>
              <w:t>-</w:t>
            </w:r>
          </w:p>
        </w:tc>
        <w:tc>
          <w:tcPr>
            <w:tcW w:w="688" w:type="dxa"/>
          </w:tcPr>
          <w:p>
            <w:pPr>
              <w:pStyle w:val="TableParagraph"/>
              <w:ind w:right="45"/>
              <w:rPr>
                <w:sz w:val="16"/>
              </w:rPr>
            </w:pPr>
            <w:r>
              <w:rPr>
                <w:w w:val="101"/>
                <w:sz w:val="16"/>
              </w:rPr>
              <w:t>-</w:t>
            </w:r>
          </w:p>
        </w:tc>
        <w:tc>
          <w:tcPr>
            <w:tcW w:w="894" w:type="dxa"/>
          </w:tcPr>
          <w:p>
            <w:pPr>
              <w:pStyle w:val="TableParagraph"/>
              <w:ind w:left="183"/>
              <w:jc w:val="left"/>
              <w:rPr>
                <w:sz w:val="16"/>
              </w:rPr>
            </w:pPr>
            <w:r>
              <w:rPr>
                <w:sz w:val="16"/>
              </w:rPr>
              <w:t>28.736,78</w:t>
            </w:r>
          </w:p>
        </w:tc>
      </w:tr>
      <w:tr>
        <w:trPr>
          <w:trHeight w:val="280" w:hRule="atLeast"/>
        </w:trPr>
        <w:tc>
          <w:tcPr>
            <w:tcW w:w="3293" w:type="dxa"/>
          </w:tcPr>
          <w:p>
            <w:pPr>
              <w:pStyle w:val="TableParagraph"/>
              <w:ind w:left="73"/>
              <w:jc w:val="left"/>
              <w:rPr>
                <w:b/>
                <w:sz w:val="16"/>
              </w:rPr>
            </w:pPr>
            <w:r>
              <w:rPr>
                <w:b/>
                <w:sz w:val="16"/>
              </w:rPr>
              <w:t>Acreedores comerciales y otras cuentas a pagar</w:t>
            </w:r>
          </w:p>
        </w:tc>
        <w:tc>
          <w:tcPr>
            <w:tcW w:w="1029" w:type="dxa"/>
          </w:tcPr>
          <w:p>
            <w:pPr>
              <w:pStyle w:val="TableParagraph"/>
              <w:ind w:right="52"/>
              <w:rPr>
                <w:b/>
                <w:sz w:val="16"/>
              </w:rPr>
            </w:pPr>
            <w:r>
              <w:rPr>
                <w:b/>
                <w:sz w:val="16"/>
              </w:rPr>
              <w:t>1.034,75</w:t>
            </w:r>
          </w:p>
        </w:tc>
        <w:tc>
          <w:tcPr>
            <w:tcW w:w="687" w:type="dxa"/>
          </w:tcPr>
          <w:p>
            <w:pPr>
              <w:pStyle w:val="TableParagraph"/>
              <w:ind w:right="54"/>
              <w:rPr>
                <w:b/>
                <w:sz w:val="16"/>
              </w:rPr>
            </w:pPr>
            <w:r>
              <w:rPr>
                <w:b/>
                <w:w w:val="101"/>
                <w:sz w:val="16"/>
              </w:rPr>
              <w:t>-</w:t>
            </w:r>
          </w:p>
        </w:tc>
        <w:tc>
          <w:tcPr>
            <w:tcW w:w="681" w:type="dxa"/>
          </w:tcPr>
          <w:p>
            <w:pPr>
              <w:pStyle w:val="TableParagraph"/>
              <w:ind w:right="54"/>
              <w:rPr>
                <w:b/>
                <w:sz w:val="16"/>
              </w:rPr>
            </w:pPr>
            <w:r>
              <w:rPr>
                <w:b/>
                <w:w w:val="101"/>
                <w:sz w:val="16"/>
              </w:rPr>
              <w:t>-</w:t>
            </w:r>
          </w:p>
        </w:tc>
        <w:tc>
          <w:tcPr>
            <w:tcW w:w="688" w:type="dxa"/>
          </w:tcPr>
          <w:p>
            <w:pPr>
              <w:pStyle w:val="TableParagraph"/>
              <w:ind w:right="53"/>
              <w:rPr>
                <w:b/>
                <w:sz w:val="16"/>
              </w:rPr>
            </w:pPr>
            <w:r>
              <w:rPr>
                <w:b/>
                <w:w w:val="101"/>
                <w:sz w:val="16"/>
              </w:rPr>
              <w:t>-</w:t>
            </w:r>
          </w:p>
        </w:tc>
        <w:tc>
          <w:tcPr>
            <w:tcW w:w="688" w:type="dxa"/>
          </w:tcPr>
          <w:p>
            <w:pPr>
              <w:pStyle w:val="TableParagraph"/>
              <w:ind w:right="53"/>
              <w:rPr>
                <w:b/>
                <w:sz w:val="16"/>
              </w:rPr>
            </w:pPr>
            <w:r>
              <w:rPr>
                <w:b/>
                <w:w w:val="101"/>
                <w:sz w:val="16"/>
              </w:rPr>
              <w:t>-</w:t>
            </w:r>
          </w:p>
        </w:tc>
        <w:tc>
          <w:tcPr>
            <w:tcW w:w="688" w:type="dxa"/>
          </w:tcPr>
          <w:p>
            <w:pPr>
              <w:pStyle w:val="TableParagraph"/>
              <w:ind w:right="45"/>
              <w:rPr>
                <w:b/>
                <w:sz w:val="16"/>
              </w:rPr>
            </w:pPr>
            <w:r>
              <w:rPr>
                <w:b/>
                <w:w w:val="101"/>
                <w:sz w:val="16"/>
              </w:rPr>
              <w:t>-</w:t>
            </w:r>
          </w:p>
        </w:tc>
        <w:tc>
          <w:tcPr>
            <w:tcW w:w="894" w:type="dxa"/>
          </w:tcPr>
          <w:p>
            <w:pPr>
              <w:pStyle w:val="TableParagraph"/>
              <w:ind w:left="261"/>
              <w:jc w:val="left"/>
              <w:rPr>
                <w:b/>
                <w:sz w:val="16"/>
              </w:rPr>
            </w:pPr>
            <w:r>
              <w:rPr>
                <w:b/>
                <w:sz w:val="16"/>
              </w:rPr>
              <w:t>1.034,75</w:t>
            </w:r>
          </w:p>
        </w:tc>
      </w:tr>
      <w:tr>
        <w:trPr>
          <w:trHeight w:val="280" w:hRule="atLeast"/>
        </w:trPr>
        <w:tc>
          <w:tcPr>
            <w:tcW w:w="3293" w:type="dxa"/>
          </w:tcPr>
          <w:p>
            <w:pPr>
              <w:pStyle w:val="TableParagraph"/>
              <w:ind w:left="214"/>
              <w:jc w:val="left"/>
              <w:rPr>
                <w:sz w:val="16"/>
              </w:rPr>
            </w:pPr>
            <w:r>
              <w:rPr>
                <w:sz w:val="16"/>
              </w:rPr>
              <w:t>Acreedores varios</w:t>
            </w:r>
          </w:p>
        </w:tc>
        <w:tc>
          <w:tcPr>
            <w:tcW w:w="1029" w:type="dxa"/>
          </w:tcPr>
          <w:p>
            <w:pPr>
              <w:pStyle w:val="TableParagraph"/>
              <w:ind w:right="52"/>
              <w:rPr>
                <w:sz w:val="16"/>
              </w:rPr>
            </w:pPr>
            <w:r>
              <w:rPr>
                <w:sz w:val="16"/>
              </w:rPr>
              <w:t>1.034,75</w:t>
            </w:r>
          </w:p>
        </w:tc>
        <w:tc>
          <w:tcPr>
            <w:tcW w:w="687" w:type="dxa"/>
          </w:tcPr>
          <w:p>
            <w:pPr>
              <w:pStyle w:val="TableParagraph"/>
              <w:ind w:right="54"/>
              <w:rPr>
                <w:sz w:val="16"/>
              </w:rPr>
            </w:pPr>
            <w:r>
              <w:rPr>
                <w:w w:val="101"/>
                <w:sz w:val="16"/>
              </w:rPr>
              <w:t>-</w:t>
            </w:r>
          </w:p>
        </w:tc>
        <w:tc>
          <w:tcPr>
            <w:tcW w:w="681" w:type="dxa"/>
          </w:tcPr>
          <w:p>
            <w:pPr>
              <w:pStyle w:val="TableParagraph"/>
              <w:ind w:right="54"/>
              <w:rPr>
                <w:sz w:val="16"/>
              </w:rPr>
            </w:pPr>
            <w:r>
              <w:rPr>
                <w:w w:val="101"/>
                <w:sz w:val="16"/>
              </w:rPr>
              <w:t>-</w:t>
            </w:r>
          </w:p>
        </w:tc>
        <w:tc>
          <w:tcPr>
            <w:tcW w:w="688" w:type="dxa"/>
          </w:tcPr>
          <w:p>
            <w:pPr>
              <w:pStyle w:val="TableParagraph"/>
              <w:ind w:right="53"/>
              <w:rPr>
                <w:sz w:val="16"/>
              </w:rPr>
            </w:pPr>
            <w:r>
              <w:rPr>
                <w:w w:val="101"/>
                <w:sz w:val="16"/>
              </w:rPr>
              <w:t>-</w:t>
            </w:r>
          </w:p>
        </w:tc>
        <w:tc>
          <w:tcPr>
            <w:tcW w:w="688" w:type="dxa"/>
          </w:tcPr>
          <w:p>
            <w:pPr>
              <w:pStyle w:val="TableParagraph"/>
              <w:ind w:right="53"/>
              <w:rPr>
                <w:sz w:val="16"/>
              </w:rPr>
            </w:pPr>
            <w:r>
              <w:rPr>
                <w:w w:val="101"/>
                <w:sz w:val="16"/>
              </w:rPr>
              <w:t>-</w:t>
            </w:r>
          </w:p>
        </w:tc>
        <w:tc>
          <w:tcPr>
            <w:tcW w:w="688" w:type="dxa"/>
          </w:tcPr>
          <w:p>
            <w:pPr>
              <w:pStyle w:val="TableParagraph"/>
              <w:ind w:right="45"/>
              <w:rPr>
                <w:sz w:val="16"/>
              </w:rPr>
            </w:pPr>
            <w:r>
              <w:rPr>
                <w:w w:val="101"/>
                <w:sz w:val="16"/>
              </w:rPr>
              <w:t>-</w:t>
            </w:r>
          </w:p>
        </w:tc>
        <w:tc>
          <w:tcPr>
            <w:tcW w:w="894" w:type="dxa"/>
          </w:tcPr>
          <w:p>
            <w:pPr>
              <w:pStyle w:val="TableParagraph"/>
              <w:ind w:left="261"/>
              <w:jc w:val="left"/>
              <w:rPr>
                <w:sz w:val="16"/>
              </w:rPr>
            </w:pPr>
            <w:r>
              <w:rPr>
                <w:sz w:val="16"/>
              </w:rPr>
              <w:t>1.034,75</w:t>
            </w:r>
          </w:p>
        </w:tc>
      </w:tr>
      <w:tr>
        <w:trPr>
          <w:trHeight w:val="288" w:hRule="atLeast"/>
        </w:trPr>
        <w:tc>
          <w:tcPr>
            <w:tcW w:w="3293" w:type="dxa"/>
          </w:tcPr>
          <w:p>
            <w:pPr>
              <w:pStyle w:val="TableParagraph"/>
              <w:spacing w:before="52"/>
              <w:ind w:left="73"/>
              <w:jc w:val="left"/>
              <w:rPr>
                <w:b/>
                <w:sz w:val="16"/>
              </w:rPr>
            </w:pPr>
            <w:r>
              <w:rPr>
                <w:b/>
                <w:sz w:val="16"/>
              </w:rPr>
              <w:t>TOTAL</w:t>
            </w:r>
          </w:p>
        </w:tc>
        <w:tc>
          <w:tcPr>
            <w:tcW w:w="1029" w:type="dxa"/>
          </w:tcPr>
          <w:p>
            <w:pPr>
              <w:pStyle w:val="TableParagraph"/>
              <w:spacing w:before="52"/>
              <w:ind w:right="52"/>
              <w:rPr>
                <w:b/>
                <w:sz w:val="16"/>
              </w:rPr>
            </w:pPr>
            <w:r>
              <w:rPr>
                <w:b/>
                <w:sz w:val="16"/>
              </w:rPr>
              <w:t>29.771,53</w:t>
            </w:r>
          </w:p>
        </w:tc>
        <w:tc>
          <w:tcPr>
            <w:tcW w:w="687" w:type="dxa"/>
          </w:tcPr>
          <w:p>
            <w:pPr>
              <w:pStyle w:val="TableParagraph"/>
              <w:spacing w:before="52"/>
              <w:ind w:right="54"/>
              <w:rPr>
                <w:b/>
                <w:sz w:val="16"/>
              </w:rPr>
            </w:pPr>
            <w:r>
              <w:rPr>
                <w:b/>
                <w:w w:val="101"/>
                <w:sz w:val="16"/>
              </w:rPr>
              <w:t>-</w:t>
            </w:r>
          </w:p>
        </w:tc>
        <w:tc>
          <w:tcPr>
            <w:tcW w:w="681" w:type="dxa"/>
          </w:tcPr>
          <w:p>
            <w:pPr>
              <w:pStyle w:val="TableParagraph"/>
              <w:spacing w:before="52"/>
              <w:ind w:right="54"/>
              <w:rPr>
                <w:b/>
                <w:sz w:val="16"/>
              </w:rPr>
            </w:pPr>
            <w:r>
              <w:rPr>
                <w:b/>
                <w:w w:val="101"/>
                <w:sz w:val="16"/>
              </w:rPr>
              <w:t>-</w:t>
            </w:r>
          </w:p>
        </w:tc>
        <w:tc>
          <w:tcPr>
            <w:tcW w:w="688" w:type="dxa"/>
          </w:tcPr>
          <w:p>
            <w:pPr>
              <w:pStyle w:val="TableParagraph"/>
              <w:spacing w:before="52"/>
              <w:ind w:right="53"/>
              <w:rPr>
                <w:b/>
                <w:sz w:val="16"/>
              </w:rPr>
            </w:pPr>
            <w:r>
              <w:rPr>
                <w:b/>
                <w:w w:val="101"/>
                <w:sz w:val="16"/>
              </w:rPr>
              <w:t>-</w:t>
            </w:r>
          </w:p>
        </w:tc>
        <w:tc>
          <w:tcPr>
            <w:tcW w:w="688" w:type="dxa"/>
          </w:tcPr>
          <w:p>
            <w:pPr>
              <w:pStyle w:val="TableParagraph"/>
              <w:spacing w:before="52"/>
              <w:ind w:right="53"/>
              <w:rPr>
                <w:b/>
                <w:sz w:val="16"/>
              </w:rPr>
            </w:pPr>
            <w:r>
              <w:rPr>
                <w:b/>
                <w:w w:val="101"/>
                <w:sz w:val="16"/>
              </w:rPr>
              <w:t>-</w:t>
            </w:r>
          </w:p>
        </w:tc>
        <w:tc>
          <w:tcPr>
            <w:tcW w:w="688" w:type="dxa"/>
          </w:tcPr>
          <w:p>
            <w:pPr>
              <w:pStyle w:val="TableParagraph"/>
              <w:spacing w:before="52"/>
              <w:ind w:right="45"/>
              <w:rPr>
                <w:b/>
                <w:sz w:val="16"/>
              </w:rPr>
            </w:pPr>
            <w:r>
              <w:rPr>
                <w:b/>
                <w:w w:val="101"/>
                <w:sz w:val="16"/>
              </w:rPr>
              <w:t>-</w:t>
            </w:r>
          </w:p>
        </w:tc>
        <w:tc>
          <w:tcPr>
            <w:tcW w:w="894" w:type="dxa"/>
          </w:tcPr>
          <w:p>
            <w:pPr>
              <w:pStyle w:val="TableParagraph"/>
              <w:spacing w:before="52"/>
              <w:ind w:left="176"/>
              <w:jc w:val="left"/>
              <w:rPr>
                <w:b/>
                <w:sz w:val="16"/>
              </w:rPr>
            </w:pPr>
            <w:r>
              <w:rPr>
                <w:b/>
                <w:sz w:val="16"/>
              </w:rPr>
              <w:t>29.771,53</w:t>
            </w:r>
          </w:p>
        </w:tc>
      </w:tr>
    </w:tbl>
    <w:p>
      <w:pPr>
        <w:spacing w:after="0"/>
        <w:jc w:val="left"/>
        <w:rPr>
          <w:sz w:val="16"/>
        </w:rPr>
        <w:sectPr>
          <w:pgSz w:w="11920" w:h="16850"/>
          <w:pgMar w:header="735" w:footer="891" w:top="1600" w:bottom="1080" w:left="1300" w:right="1300"/>
        </w:sectPr>
      </w:pPr>
    </w:p>
    <w:p>
      <w:pPr>
        <w:pStyle w:val="BodyText"/>
        <w:spacing w:before="147"/>
        <w:ind w:left="403"/>
      </w:pPr>
      <w:r>
        <w:rPr>
          <w:w w:val="105"/>
        </w:rPr>
        <w:t>El vencimiento </w:t>
      </w:r>
      <w:r>
        <w:rPr>
          <w:spacing w:val="2"/>
          <w:w w:val="105"/>
        </w:rPr>
        <w:t>de </w:t>
      </w:r>
      <w:r>
        <w:rPr>
          <w:w w:val="105"/>
        </w:rPr>
        <w:t>los pasivos financieros de la Sociedad a 31 de diciembre </w:t>
      </w:r>
      <w:r>
        <w:rPr>
          <w:spacing w:val="2"/>
          <w:w w:val="105"/>
        </w:rPr>
        <w:t>de</w:t>
      </w:r>
      <w:r>
        <w:rPr>
          <w:spacing w:val="7"/>
          <w:w w:val="105"/>
        </w:rPr>
        <w:t> </w:t>
      </w:r>
      <w:r>
        <w:rPr>
          <w:w w:val="105"/>
        </w:rPr>
        <w:t>2023:</w:t>
      </w:r>
    </w:p>
    <w:p>
      <w:pPr>
        <w:pStyle w:val="BodyText"/>
        <w:spacing w:before="2"/>
        <w:rPr>
          <w:sz w:val="1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93"/>
        <w:gridCol w:w="1029"/>
        <w:gridCol w:w="687"/>
        <w:gridCol w:w="688"/>
        <w:gridCol w:w="688"/>
        <w:gridCol w:w="688"/>
        <w:gridCol w:w="695"/>
        <w:gridCol w:w="879"/>
      </w:tblGrid>
      <w:tr>
        <w:trPr>
          <w:trHeight w:val="288" w:hRule="atLeast"/>
        </w:trPr>
        <w:tc>
          <w:tcPr>
            <w:tcW w:w="3293" w:type="dxa"/>
            <w:vMerge w:val="restart"/>
            <w:tcBorders>
              <w:top w:val="nil"/>
              <w:left w:val="nil"/>
            </w:tcBorders>
          </w:tcPr>
          <w:p>
            <w:pPr>
              <w:pStyle w:val="TableParagraph"/>
              <w:spacing w:before="0"/>
              <w:jc w:val="left"/>
              <w:rPr>
                <w:rFonts w:ascii="Times New Roman"/>
                <w:sz w:val="16"/>
              </w:rPr>
            </w:pPr>
          </w:p>
        </w:tc>
        <w:tc>
          <w:tcPr>
            <w:tcW w:w="5354" w:type="dxa"/>
            <w:gridSpan w:val="7"/>
            <w:shd w:val="clear" w:color="auto" w:fill="D9D9D9"/>
          </w:tcPr>
          <w:p>
            <w:pPr>
              <w:pStyle w:val="TableParagraph"/>
              <w:spacing w:line="173" w:lineRule="exact" w:before="94"/>
              <w:ind w:left="1965" w:right="1939"/>
              <w:jc w:val="center"/>
              <w:rPr>
                <w:b/>
                <w:sz w:val="16"/>
              </w:rPr>
            </w:pPr>
            <w:r>
              <w:rPr>
                <w:b/>
                <w:sz w:val="16"/>
              </w:rPr>
              <w:t>Vencimiento en años</w:t>
            </w:r>
          </w:p>
        </w:tc>
      </w:tr>
      <w:tr>
        <w:trPr>
          <w:trHeight w:val="280" w:hRule="atLeast"/>
        </w:trPr>
        <w:tc>
          <w:tcPr>
            <w:tcW w:w="3293" w:type="dxa"/>
            <w:vMerge/>
            <w:tcBorders>
              <w:top w:val="nil"/>
              <w:left w:val="nil"/>
            </w:tcBorders>
          </w:tcPr>
          <w:p>
            <w:pPr>
              <w:rPr>
                <w:sz w:val="2"/>
                <w:szCs w:val="2"/>
              </w:rPr>
            </w:pPr>
          </w:p>
        </w:tc>
        <w:tc>
          <w:tcPr>
            <w:tcW w:w="1029" w:type="dxa"/>
            <w:shd w:val="clear" w:color="auto" w:fill="D9D9D9"/>
          </w:tcPr>
          <w:p>
            <w:pPr>
              <w:pStyle w:val="TableParagraph"/>
              <w:spacing w:line="173" w:lineRule="exact" w:before="87"/>
              <w:ind w:left="20"/>
              <w:jc w:val="center"/>
              <w:rPr>
                <w:b/>
                <w:sz w:val="16"/>
              </w:rPr>
            </w:pPr>
            <w:r>
              <w:rPr>
                <w:b/>
                <w:w w:val="101"/>
                <w:sz w:val="16"/>
              </w:rPr>
              <w:t>1</w:t>
            </w:r>
          </w:p>
        </w:tc>
        <w:tc>
          <w:tcPr>
            <w:tcW w:w="687" w:type="dxa"/>
            <w:shd w:val="clear" w:color="auto" w:fill="D9D9D9"/>
          </w:tcPr>
          <w:p>
            <w:pPr>
              <w:pStyle w:val="TableParagraph"/>
              <w:spacing w:line="173" w:lineRule="exact" w:before="87"/>
              <w:ind w:left="21"/>
              <w:jc w:val="center"/>
              <w:rPr>
                <w:b/>
                <w:sz w:val="16"/>
              </w:rPr>
            </w:pPr>
            <w:r>
              <w:rPr>
                <w:b/>
                <w:w w:val="101"/>
                <w:sz w:val="16"/>
              </w:rPr>
              <w:t>2</w:t>
            </w:r>
          </w:p>
        </w:tc>
        <w:tc>
          <w:tcPr>
            <w:tcW w:w="688" w:type="dxa"/>
            <w:shd w:val="clear" w:color="auto" w:fill="D9D9D9"/>
          </w:tcPr>
          <w:p>
            <w:pPr>
              <w:pStyle w:val="TableParagraph"/>
              <w:spacing w:line="173" w:lineRule="exact" w:before="87"/>
              <w:ind w:left="23"/>
              <w:jc w:val="center"/>
              <w:rPr>
                <w:b/>
                <w:sz w:val="16"/>
              </w:rPr>
            </w:pPr>
            <w:r>
              <w:rPr>
                <w:b/>
                <w:w w:val="101"/>
                <w:sz w:val="16"/>
              </w:rPr>
              <w:t>3</w:t>
            </w:r>
          </w:p>
        </w:tc>
        <w:tc>
          <w:tcPr>
            <w:tcW w:w="688" w:type="dxa"/>
            <w:shd w:val="clear" w:color="auto" w:fill="D9D9D9"/>
          </w:tcPr>
          <w:p>
            <w:pPr>
              <w:pStyle w:val="TableParagraph"/>
              <w:spacing w:line="173" w:lineRule="exact" w:before="87"/>
              <w:ind w:left="24"/>
              <w:jc w:val="center"/>
              <w:rPr>
                <w:b/>
                <w:sz w:val="16"/>
              </w:rPr>
            </w:pPr>
            <w:r>
              <w:rPr>
                <w:b/>
                <w:w w:val="101"/>
                <w:sz w:val="16"/>
              </w:rPr>
              <w:t>4</w:t>
            </w:r>
          </w:p>
        </w:tc>
        <w:tc>
          <w:tcPr>
            <w:tcW w:w="688" w:type="dxa"/>
            <w:shd w:val="clear" w:color="auto" w:fill="D9D9D9"/>
          </w:tcPr>
          <w:p>
            <w:pPr>
              <w:pStyle w:val="TableParagraph"/>
              <w:spacing w:line="173" w:lineRule="exact" w:before="87"/>
              <w:ind w:left="25"/>
              <w:jc w:val="center"/>
              <w:rPr>
                <w:b/>
                <w:sz w:val="16"/>
              </w:rPr>
            </w:pPr>
            <w:r>
              <w:rPr>
                <w:b/>
                <w:w w:val="101"/>
                <w:sz w:val="16"/>
              </w:rPr>
              <w:t>5</w:t>
            </w:r>
          </w:p>
        </w:tc>
        <w:tc>
          <w:tcPr>
            <w:tcW w:w="695" w:type="dxa"/>
            <w:shd w:val="clear" w:color="auto" w:fill="D9D9D9"/>
          </w:tcPr>
          <w:p>
            <w:pPr>
              <w:pStyle w:val="TableParagraph"/>
              <w:spacing w:line="173" w:lineRule="exact" w:before="87"/>
              <w:ind w:left="154"/>
              <w:jc w:val="left"/>
              <w:rPr>
                <w:b/>
                <w:sz w:val="16"/>
              </w:rPr>
            </w:pPr>
            <w:r>
              <w:rPr>
                <w:b/>
                <w:sz w:val="16"/>
              </w:rPr>
              <w:t>+ de 5</w:t>
            </w:r>
          </w:p>
        </w:tc>
        <w:tc>
          <w:tcPr>
            <w:tcW w:w="879" w:type="dxa"/>
            <w:shd w:val="clear" w:color="auto" w:fill="D9D9D9"/>
          </w:tcPr>
          <w:p>
            <w:pPr>
              <w:pStyle w:val="TableParagraph"/>
              <w:spacing w:line="173" w:lineRule="exact" w:before="87"/>
              <w:ind w:left="219"/>
              <w:jc w:val="left"/>
              <w:rPr>
                <w:b/>
                <w:sz w:val="16"/>
              </w:rPr>
            </w:pPr>
            <w:r>
              <w:rPr>
                <w:b/>
                <w:sz w:val="16"/>
              </w:rPr>
              <w:t>TOTAL</w:t>
            </w:r>
          </w:p>
        </w:tc>
      </w:tr>
      <w:tr>
        <w:trPr>
          <w:trHeight w:val="281" w:hRule="atLeast"/>
        </w:trPr>
        <w:tc>
          <w:tcPr>
            <w:tcW w:w="3293" w:type="dxa"/>
          </w:tcPr>
          <w:p>
            <w:pPr>
              <w:pStyle w:val="TableParagraph"/>
              <w:ind w:left="73"/>
              <w:jc w:val="left"/>
              <w:rPr>
                <w:b/>
                <w:sz w:val="16"/>
              </w:rPr>
            </w:pPr>
            <w:r>
              <w:rPr>
                <w:b/>
                <w:sz w:val="16"/>
              </w:rPr>
              <w:t>Acreedores comerciales y otras cuentas a pagar</w:t>
            </w:r>
          </w:p>
        </w:tc>
        <w:tc>
          <w:tcPr>
            <w:tcW w:w="1029" w:type="dxa"/>
          </w:tcPr>
          <w:p>
            <w:pPr>
              <w:pStyle w:val="TableParagraph"/>
              <w:ind w:right="52"/>
              <w:rPr>
                <w:b/>
                <w:sz w:val="16"/>
              </w:rPr>
            </w:pPr>
            <w:r>
              <w:rPr>
                <w:b/>
                <w:sz w:val="16"/>
              </w:rPr>
              <w:t>1.585,24</w:t>
            </w:r>
          </w:p>
        </w:tc>
        <w:tc>
          <w:tcPr>
            <w:tcW w:w="687" w:type="dxa"/>
          </w:tcPr>
          <w:p>
            <w:pPr>
              <w:pStyle w:val="TableParagraph"/>
              <w:ind w:right="54"/>
              <w:rPr>
                <w:b/>
                <w:sz w:val="16"/>
              </w:rPr>
            </w:pPr>
            <w:r>
              <w:rPr>
                <w:b/>
                <w:w w:val="101"/>
                <w:sz w:val="16"/>
              </w:rPr>
              <w:t>-</w:t>
            </w:r>
          </w:p>
        </w:tc>
        <w:tc>
          <w:tcPr>
            <w:tcW w:w="688" w:type="dxa"/>
          </w:tcPr>
          <w:p>
            <w:pPr>
              <w:pStyle w:val="TableParagraph"/>
              <w:ind w:right="54"/>
              <w:rPr>
                <w:b/>
                <w:sz w:val="16"/>
              </w:rPr>
            </w:pPr>
            <w:r>
              <w:rPr>
                <w:b/>
                <w:w w:val="101"/>
                <w:sz w:val="16"/>
              </w:rPr>
              <w:t>-</w:t>
            </w:r>
          </w:p>
        </w:tc>
        <w:tc>
          <w:tcPr>
            <w:tcW w:w="688" w:type="dxa"/>
          </w:tcPr>
          <w:p>
            <w:pPr>
              <w:pStyle w:val="TableParagraph"/>
              <w:ind w:right="53"/>
              <w:rPr>
                <w:b/>
                <w:sz w:val="16"/>
              </w:rPr>
            </w:pPr>
            <w:r>
              <w:rPr>
                <w:b/>
                <w:w w:val="101"/>
                <w:sz w:val="16"/>
              </w:rPr>
              <w:t>-</w:t>
            </w:r>
          </w:p>
        </w:tc>
        <w:tc>
          <w:tcPr>
            <w:tcW w:w="688" w:type="dxa"/>
          </w:tcPr>
          <w:p>
            <w:pPr>
              <w:pStyle w:val="TableParagraph"/>
              <w:ind w:right="45"/>
              <w:rPr>
                <w:b/>
                <w:sz w:val="16"/>
              </w:rPr>
            </w:pPr>
            <w:r>
              <w:rPr>
                <w:b/>
                <w:w w:val="101"/>
                <w:sz w:val="16"/>
              </w:rPr>
              <w:t>-</w:t>
            </w:r>
          </w:p>
        </w:tc>
        <w:tc>
          <w:tcPr>
            <w:tcW w:w="695" w:type="dxa"/>
          </w:tcPr>
          <w:p>
            <w:pPr>
              <w:pStyle w:val="TableParagraph"/>
              <w:ind w:right="52"/>
              <w:rPr>
                <w:b/>
                <w:sz w:val="16"/>
              </w:rPr>
            </w:pPr>
            <w:r>
              <w:rPr>
                <w:b/>
                <w:w w:val="101"/>
                <w:sz w:val="16"/>
              </w:rPr>
              <w:t>-</w:t>
            </w:r>
          </w:p>
        </w:tc>
        <w:tc>
          <w:tcPr>
            <w:tcW w:w="879" w:type="dxa"/>
          </w:tcPr>
          <w:p>
            <w:pPr>
              <w:pStyle w:val="TableParagraph"/>
              <w:ind w:left="240"/>
              <w:jc w:val="left"/>
              <w:rPr>
                <w:b/>
                <w:sz w:val="16"/>
              </w:rPr>
            </w:pPr>
            <w:r>
              <w:rPr>
                <w:b/>
                <w:sz w:val="16"/>
              </w:rPr>
              <w:t>1.585,24</w:t>
            </w:r>
          </w:p>
        </w:tc>
      </w:tr>
      <w:tr>
        <w:trPr>
          <w:trHeight w:val="287" w:hRule="atLeast"/>
        </w:trPr>
        <w:tc>
          <w:tcPr>
            <w:tcW w:w="3293" w:type="dxa"/>
          </w:tcPr>
          <w:p>
            <w:pPr>
              <w:pStyle w:val="TableParagraph"/>
              <w:ind w:left="214"/>
              <w:jc w:val="left"/>
              <w:rPr>
                <w:sz w:val="16"/>
              </w:rPr>
            </w:pPr>
            <w:r>
              <w:rPr>
                <w:sz w:val="16"/>
              </w:rPr>
              <w:t>Acreedores varios</w:t>
            </w:r>
          </w:p>
        </w:tc>
        <w:tc>
          <w:tcPr>
            <w:tcW w:w="1029" w:type="dxa"/>
          </w:tcPr>
          <w:p>
            <w:pPr>
              <w:pStyle w:val="TableParagraph"/>
              <w:ind w:right="52"/>
              <w:rPr>
                <w:sz w:val="16"/>
              </w:rPr>
            </w:pPr>
            <w:r>
              <w:rPr>
                <w:sz w:val="16"/>
              </w:rPr>
              <w:t>1.585,24</w:t>
            </w:r>
          </w:p>
        </w:tc>
        <w:tc>
          <w:tcPr>
            <w:tcW w:w="687" w:type="dxa"/>
          </w:tcPr>
          <w:p>
            <w:pPr>
              <w:pStyle w:val="TableParagraph"/>
              <w:ind w:right="54"/>
              <w:rPr>
                <w:sz w:val="16"/>
              </w:rPr>
            </w:pPr>
            <w:r>
              <w:rPr>
                <w:w w:val="101"/>
                <w:sz w:val="16"/>
              </w:rPr>
              <w:t>-</w:t>
            </w:r>
          </w:p>
        </w:tc>
        <w:tc>
          <w:tcPr>
            <w:tcW w:w="688" w:type="dxa"/>
          </w:tcPr>
          <w:p>
            <w:pPr>
              <w:pStyle w:val="TableParagraph"/>
              <w:ind w:right="54"/>
              <w:rPr>
                <w:sz w:val="16"/>
              </w:rPr>
            </w:pPr>
            <w:r>
              <w:rPr>
                <w:w w:val="101"/>
                <w:sz w:val="16"/>
              </w:rPr>
              <w:t>-</w:t>
            </w:r>
          </w:p>
        </w:tc>
        <w:tc>
          <w:tcPr>
            <w:tcW w:w="688" w:type="dxa"/>
          </w:tcPr>
          <w:p>
            <w:pPr>
              <w:pStyle w:val="TableParagraph"/>
              <w:ind w:right="53"/>
              <w:rPr>
                <w:sz w:val="16"/>
              </w:rPr>
            </w:pPr>
            <w:r>
              <w:rPr>
                <w:w w:val="101"/>
                <w:sz w:val="16"/>
              </w:rPr>
              <w:t>-</w:t>
            </w:r>
          </w:p>
        </w:tc>
        <w:tc>
          <w:tcPr>
            <w:tcW w:w="688" w:type="dxa"/>
          </w:tcPr>
          <w:p>
            <w:pPr>
              <w:pStyle w:val="TableParagraph"/>
              <w:ind w:right="45"/>
              <w:rPr>
                <w:sz w:val="16"/>
              </w:rPr>
            </w:pPr>
            <w:r>
              <w:rPr>
                <w:w w:val="101"/>
                <w:sz w:val="16"/>
              </w:rPr>
              <w:t>-</w:t>
            </w:r>
          </w:p>
        </w:tc>
        <w:tc>
          <w:tcPr>
            <w:tcW w:w="695" w:type="dxa"/>
          </w:tcPr>
          <w:p>
            <w:pPr>
              <w:pStyle w:val="TableParagraph"/>
              <w:ind w:right="52"/>
              <w:rPr>
                <w:sz w:val="16"/>
              </w:rPr>
            </w:pPr>
            <w:r>
              <w:rPr>
                <w:w w:val="101"/>
                <w:sz w:val="16"/>
              </w:rPr>
              <w:t>-</w:t>
            </w:r>
          </w:p>
        </w:tc>
        <w:tc>
          <w:tcPr>
            <w:tcW w:w="879" w:type="dxa"/>
          </w:tcPr>
          <w:p>
            <w:pPr>
              <w:pStyle w:val="TableParagraph"/>
              <w:ind w:left="240"/>
              <w:jc w:val="left"/>
              <w:rPr>
                <w:sz w:val="16"/>
              </w:rPr>
            </w:pPr>
            <w:r>
              <w:rPr>
                <w:sz w:val="16"/>
              </w:rPr>
              <w:t>1.585,24</w:t>
            </w:r>
          </w:p>
        </w:tc>
      </w:tr>
      <w:tr>
        <w:trPr>
          <w:trHeight w:val="280" w:hRule="atLeast"/>
        </w:trPr>
        <w:tc>
          <w:tcPr>
            <w:tcW w:w="3293" w:type="dxa"/>
          </w:tcPr>
          <w:p>
            <w:pPr>
              <w:pStyle w:val="TableParagraph"/>
              <w:ind w:left="73"/>
              <w:jc w:val="left"/>
              <w:rPr>
                <w:b/>
                <w:sz w:val="16"/>
              </w:rPr>
            </w:pPr>
            <w:r>
              <w:rPr>
                <w:b/>
                <w:sz w:val="16"/>
              </w:rPr>
              <w:t>TOTAL</w:t>
            </w:r>
          </w:p>
        </w:tc>
        <w:tc>
          <w:tcPr>
            <w:tcW w:w="1029" w:type="dxa"/>
          </w:tcPr>
          <w:p>
            <w:pPr>
              <w:pStyle w:val="TableParagraph"/>
              <w:ind w:right="52"/>
              <w:rPr>
                <w:b/>
                <w:sz w:val="16"/>
              </w:rPr>
            </w:pPr>
            <w:r>
              <w:rPr>
                <w:b/>
                <w:sz w:val="16"/>
              </w:rPr>
              <w:t>1.585,24</w:t>
            </w:r>
          </w:p>
        </w:tc>
        <w:tc>
          <w:tcPr>
            <w:tcW w:w="687" w:type="dxa"/>
          </w:tcPr>
          <w:p>
            <w:pPr>
              <w:pStyle w:val="TableParagraph"/>
              <w:ind w:right="54"/>
              <w:rPr>
                <w:b/>
                <w:sz w:val="16"/>
              </w:rPr>
            </w:pPr>
            <w:r>
              <w:rPr>
                <w:b/>
                <w:w w:val="101"/>
                <w:sz w:val="16"/>
              </w:rPr>
              <w:t>-</w:t>
            </w:r>
          </w:p>
        </w:tc>
        <w:tc>
          <w:tcPr>
            <w:tcW w:w="688" w:type="dxa"/>
          </w:tcPr>
          <w:p>
            <w:pPr>
              <w:pStyle w:val="TableParagraph"/>
              <w:ind w:right="54"/>
              <w:rPr>
                <w:b/>
                <w:sz w:val="16"/>
              </w:rPr>
            </w:pPr>
            <w:r>
              <w:rPr>
                <w:b/>
                <w:w w:val="101"/>
                <w:sz w:val="16"/>
              </w:rPr>
              <w:t>-</w:t>
            </w:r>
          </w:p>
        </w:tc>
        <w:tc>
          <w:tcPr>
            <w:tcW w:w="688" w:type="dxa"/>
          </w:tcPr>
          <w:p>
            <w:pPr>
              <w:pStyle w:val="TableParagraph"/>
              <w:ind w:right="53"/>
              <w:rPr>
                <w:b/>
                <w:sz w:val="16"/>
              </w:rPr>
            </w:pPr>
            <w:r>
              <w:rPr>
                <w:b/>
                <w:w w:val="101"/>
                <w:sz w:val="16"/>
              </w:rPr>
              <w:t>-</w:t>
            </w:r>
          </w:p>
        </w:tc>
        <w:tc>
          <w:tcPr>
            <w:tcW w:w="688" w:type="dxa"/>
          </w:tcPr>
          <w:p>
            <w:pPr>
              <w:pStyle w:val="TableParagraph"/>
              <w:ind w:right="45"/>
              <w:rPr>
                <w:b/>
                <w:sz w:val="16"/>
              </w:rPr>
            </w:pPr>
            <w:r>
              <w:rPr>
                <w:b/>
                <w:w w:val="101"/>
                <w:sz w:val="16"/>
              </w:rPr>
              <w:t>-</w:t>
            </w:r>
          </w:p>
        </w:tc>
        <w:tc>
          <w:tcPr>
            <w:tcW w:w="695" w:type="dxa"/>
          </w:tcPr>
          <w:p>
            <w:pPr>
              <w:pStyle w:val="TableParagraph"/>
              <w:ind w:right="52"/>
              <w:rPr>
                <w:b/>
                <w:sz w:val="16"/>
              </w:rPr>
            </w:pPr>
            <w:r>
              <w:rPr>
                <w:b/>
                <w:w w:val="101"/>
                <w:sz w:val="16"/>
              </w:rPr>
              <w:t>-</w:t>
            </w:r>
          </w:p>
        </w:tc>
        <w:tc>
          <w:tcPr>
            <w:tcW w:w="879" w:type="dxa"/>
          </w:tcPr>
          <w:p>
            <w:pPr>
              <w:pStyle w:val="TableParagraph"/>
              <w:ind w:left="240"/>
              <w:jc w:val="left"/>
              <w:rPr>
                <w:b/>
                <w:sz w:val="16"/>
              </w:rPr>
            </w:pPr>
            <w:r>
              <w:rPr>
                <w:b/>
                <w:sz w:val="16"/>
              </w:rPr>
              <w:t>1.585,24</w:t>
            </w:r>
          </w:p>
        </w:tc>
      </w:tr>
    </w:tbl>
    <w:p>
      <w:pPr>
        <w:pStyle w:val="BodyText"/>
        <w:spacing w:before="5"/>
        <w:rPr>
          <w:sz w:val="13"/>
        </w:rPr>
      </w:pPr>
    </w:p>
    <w:p>
      <w:pPr>
        <w:pStyle w:val="BodyText"/>
        <w:ind w:left="403"/>
      </w:pPr>
      <w:r>
        <w:rPr>
          <w:w w:val="105"/>
        </w:rPr>
        <w:t>La Sociedad no tiene ni ha formalizado préstamos durante el ejercicio 2024 y</w:t>
      </w:r>
      <w:r>
        <w:rPr>
          <w:spacing w:val="25"/>
          <w:w w:val="105"/>
        </w:rPr>
        <w:t> </w:t>
      </w:r>
      <w:r>
        <w:rPr>
          <w:w w:val="105"/>
        </w:rPr>
        <w:t>2023.</w:t>
      </w:r>
    </w:p>
    <w:p>
      <w:pPr>
        <w:pStyle w:val="BodyText"/>
        <w:spacing w:before="7"/>
        <w:rPr>
          <w:sz w:val="20"/>
        </w:rPr>
      </w:pPr>
    </w:p>
    <w:p>
      <w:pPr>
        <w:pStyle w:val="Heading1"/>
        <w:numPr>
          <w:ilvl w:val="0"/>
          <w:numId w:val="1"/>
        </w:numPr>
        <w:tabs>
          <w:tab w:pos="971" w:val="left" w:leader="none"/>
          <w:tab w:pos="972" w:val="left" w:leader="none"/>
        </w:tabs>
        <w:spacing w:line="240" w:lineRule="auto" w:before="0" w:after="0"/>
        <w:ind w:left="971" w:right="0" w:hanging="569"/>
        <w:jc w:val="left"/>
      </w:pPr>
      <w:r>
        <w:rPr/>
        <w:t>Fondos</w:t>
      </w:r>
      <w:r>
        <w:rPr>
          <w:spacing w:val="4"/>
        </w:rPr>
        <w:t> </w:t>
      </w:r>
      <w:r>
        <w:rPr/>
        <w:t>propios</w:t>
      </w:r>
    </w:p>
    <w:p>
      <w:pPr>
        <w:pStyle w:val="BodyText"/>
        <w:spacing w:line="304" w:lineRule="auto" w:before="157"/>
        <w:ind w:left="403" w:right="483"/>
      </w:pPr>
      <w:r>
        <w:rPr>
          <w:w w:val="105"/>
        </w:rPr>
        <w:t>El capital social asciende se compone de 30 participaciones por un valor nominal de 101,01 euros, siendo el capital social a 31 de diciembre de 2024 y 2023 de 3.005,06 euros nominales y tiene la composición siguiente:</w:t>
      </w:r>
    </w:p>
    <w:p>
      <w:pPr>
        <w:pStyle w:val="BodyText"/>
        <w:spacing w:before="1"/>
        <w:rPr>
          <w:sz w:val="5"/>
        </w:rPr>
      </w:pPr>
    </w:p>
    <w:tbl>
      <w:tblPr>
        <w:tblW w:w="0" w:type="auto"/>
        <w:jc w:val="left"/>
        <w:tblInd w:w="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03"/>
        <w:gridCol w:w="710"/>
        <w:gridCol w:w="1203"/>
        <w:gridCol w:w="1203"/>
        <w:gridCol w:w="1326"/>
        <w:gridCol w:w="1203"/>
        <w:gridCol w:w="1460"/>
      </w:tblGrid>
      <w:tr>
        <w:trPr>
          <w:trHeight w:val="172" w:hRule="atLeast"/>
        </w:trPr>
        <w:tc>
          <w:tcPr>
            <w:tcW w:w="4319" w:type="dxa"/>
            <w:gridSpan w:val="4"/>
            <w:tcBorders>
              <w:left w:val="single" w:sz="8" w:space="0" w:color="000000"/>
              <w:right w:val="single" w:sz="8" w:space="0" w:color="000000"/>
            </w:tcBorders>
          </w:tcPr>
          <w:p>
            <w:pPr>
              <w:pStyle w:val="TableParagraph"/>
              <w:spacing w:line="153" w:lineRule="exact" w:before="0"/>
              <w:ind w:left="1606" w:right="1580"/>
              <w:jc w:val="center"/>
              <w:rPr>
                <w:b/>
                <w:sz w:val="17"/>
              </w:rPr>
            </w:pPr>
            <w:r>
              <w:rPr>
                <w:b/>
                <w:sz w:val="17"/>
              </w:rPr>
              <w:t>Participaciones</w:t>
            </w:r>
          </w:p>
        </w:tc>
        <w:tc>
          <w:tcPr>
            <w:tcW w:w="3989" w:type="dxa"/>
            <w:gridSpan w:val="3"/>
            <w:tcBorders>
              <w:left w:val="single" w:sz="8" w:space="0" w:color="000000"/>
              <w:right w:val="single" w:sz="8" w:space="0" w:color="000000"/>
            </w:tcBorders>
          </w:tcPr>
          <w:p>
            <w:pPr>
              <w:pStyle w:val="TableParagraph"/>
              <w:spacing w:line="153" w:lineRule="exact" w:before="0"/>
              <w:ind w:left="1781" w:right="1753"/>
              <w:jc w:val="center"/>
              <w:rPr>
                <w:b/>
                <w:sz w:val="17"/>
              </w:rPr>
            </w:pPr>
            <w:r>
              <w:rPr>
                <w:b/>
                <w:sz w:val="17"/>
              </w:rPr>
              <w:t>Euros</w:t>
            </w:r>
          </w:p>
        </w:tc>
      </w:tr>
      <w:tr>
        <w:trPr>
          <w:trHeight w:val="172" w:hRule="atLeast"/>
        </w:trPr>
        <w:tc>
          <w:tcPr>
            <w:tcW w:w="1203" w:type="dxa"/>
            <w:tcBorders>
              <w:left w:val="single" w:sz="8" w:space="0" w:color="000000"/>
              <w:right w:val="single" w:sz="8" w:space="0" w:color="000000"/>
            </w:tcBorders>
          </w:tcPr>
          <w:p>
            <w:pPr>
              <w:pStyle w:val="TableParagraph"/>
              <w:spacing w:line="153" w:lineRule="exact" w:before="0"/>
              <w:ind w:right="370"/>
              <w:rPr>
                <w:b/>
                <w:sz w:val="17"/>
              </w:rPr>
            </w:pPr>
            <w:r>
              <w:rPr>
                <w:b/>
                <w:w w:val="95"/>
                <w:sz w:val="17"/>
              </w:rPr>
              <w:t>Clases</w:t>
            </w:r>
          </w:p>
        </w:tc>
        <w:tc>
          <w:tcPr>
            <w:tcW w:w="710" w:type="dxa"/>
            <w:vMerge w:val="restart"/>
            <w:tcBorders>
              <w:left w:val="single" w:sz="8" w:space="0" w:color="000000"/>
              <w:right w:val="single" w:sz="8" w:space="0" w:color="000000"/>
            </w:tcBorders>
          </w:tcPr>
          <w:p>
            <w:pPr>
              <w:pStyle w:val="TableParagraph"/>
              <w:spacing w:before="1"/>
              <w:jc w:val="left"/>
              <w:rPr>
                <w:sz w:val="14"/>
              </w:rPr>
            </w:pPr>
          </w:p>
          <w:p>
            <w:pPr>
              <w:pStyle w:val="TableParagraph"/>
              <w:spacing w:line="183" w:lineRule="exact" w:before="0"/>
              <w:ind w:left="84"/>
              <w:jc w:val="left"/>
              <w:rPr>
                <w:b/>
                <w:sz w:val="17"/>
              </w:rPr>
            </w:pPr>
            <w:r>
              <w:rPr>
                <w:b/>
                <w:sz w:val="17"/>
              </w:rPr>
              <w:t>Número</w:t>
            </w:r>
          </w:p>
        </w:tc>
        <w:tc>
          <w:tcPr>
            <w:tcW w:w="1203" w:type="dxa"/>
            <w:vMerge w:val="restart"/>
            <w:tcBorders>
              <w:left w:val="single" w:sz="8" w:space="0" w:color="000000"/>
              <w:right w:val="single" w:sz="8" w:space="0" w:color="000000"/>
            </w:tcBorders>
          </w:tcPr>
          <w:p>
            <w:pPr>
              <w:pStyle w:val="TableParagraph"/>
              <w:spacing w:before="1"/>
              <w:jc w:val="left"/>
              <w:rPr>
                <w:sz w:val="14"/>
              </w:rPr>
            </w:pPr>
          </w:p>
          <w:p>
            <w:pPr>
              <w:pStyle w:val="TableParagraph"/>
              <w:spacing w:line="183" w:lineRule="exact" w:before="0"/>
              <w:ind w:left="125"/>
              <w:jc w:val="left"/>
              <w:rPr>
                <w:b/>
                <w:sz w:val="17"/>
              </w:rPr>
            </w:pPr>
            <w:r>
              <w:rPr>
                <w:b/>
                <w:sz w:val="17"/>
              </w:rPr>
              <w:t>Valor Nominal</w:t>
            </w:r>
          </w:p>
        </w:tc>
        <w:tc>
          <w:tcPr>
            <w:tcW w:w="1203" w:type="dxa"/>
            <w:vMerge w:val="restart"/>
            <w:tcBorders>
              <w:left w:val="single" w:sz="8" w:space="0" w:color="000000"/>
              <w:right w:val="single" w:sz="8" w:space="0" w:color="000000"/>
            </w:tcBorders>
          </w:tcPr>
          <w:p>
            <w:pPr>
              <w:pStyle w:val="TableParagraph"/>
              <w:spacing w:before="1"/>
              <w:jc w:val="left"/>
              <w:rPr>
                <w:sz w:val="14"/>
              </w:rPr>
            </w:pPr>
          </w:p>
          <w:p>
            <w:pPr>
              <w:pStyle w:val="TableParagraph"/>
              <w:spacing w:line="183" w:lineRule="exact" w:before="0"/>
              <w:ind w:left="405" w:right="377"/>
              <w:jc w:val="center"/>
              <w:rPr>
                <w:b/>
                <w:sz w:val="17"/>
              </w:rPr>
            </w:pPr>
            <w:r>
              <w:rPr>
                <w:b/>
                <w:sz w:val="17"/>
              </w:rPr>
              <w:t>Total</w:t>
            </w:r>
          </w:p>
        </w:tc>
        <w:tc>
          <w:tcPr>
            <w:tcW w:w="1326" w:type="dxa"/>
            <w:vMerge w:val="restart"/>
            <w:tcBorders>
              <w:left w:val="single" w:sz="8" w:space="0" w:color="000000"/>
              <w:right w:val="single" w:sz="8" w:space="0" w:color="000000"/>
            </w:tcBorders>
          </w:tcPr>
          <w:p>
            <w:pPr>
              <w:pStyle w:val="TableParagraph"/>
              <w:spacing w:line="149" w:lineRule="exact" w:before="0"/>
              <w:ind w:left="68" w:right="41"/>
              <w:jc w:val="center"/>
              <w:rPr>
                <w:b/>
                <w:sz w:val="17"/>
              </w:rPr>
            </w:pPr>
            <w:r>
              <w:rPr>
                <w:b/>
                <w:sz w:val="17"/>
              </w:rPr>
              <w:t>Desembolsos no</w:t>
            </w:r>
          </w:p>
          <w:p>
            <w:pPr>
              <w:pStyle w:val="TableParagraph"/>
              <w:spacing w:line="183" w:lineRule="exact" w:before="23"/>
              <w:ind w:left="68" w:right="39"/>
              <w:jc w:val="center"/>
              <w:rPr>
                <w:b/>
                <w:sz w:val="17"/>
              </w:rPr>
            </w:pPr>
            <w:r>
              <w:rPr>
                <w:b/>
                <w:sz w:val="17"/>
              </w:rPr>
              <w:t>exigidos</w:t>
            </w:r>
          </w:p>
        </w:tc>
        <w:tc>
          <w:tcPr>
            <w:tcW w:w="1203" w:type="dxa"/>
            <w:vMerge w:val="restart"/>
            <w:tcBorders>
              <w:left w:val="single" w:sz="8" w:space="0" w:color="000000"/>
              <w:right w:val="single" w:sz="8" w:space="0" w:color="000000"/>
            </w:tcBorders>
          </w:tcPr>
          <w:p>
            <w:pPr>
              <w:pStyle w:val="TableParagraph"/>
              <w:spacing w:line="205" w:lineRule="exact" w:before="0"/>
              <w:ind w:left="310"/>
              <w:jc w:val="left"/>
              <w:rPr>
                <w:b/>
                <w:sz w:val="17"/>
              </w:rPr>
            </w:pPr>
            <w:r>
              <w:rPr>
                <w:b/>
                <w:sz w:val="17"/>
              </w:rPr>
              <w:t>Fecha de</w:t>
            </w:r>
          </w:p>
          <w:p>
            <w:pPr>
              <w:pStyle w:val="TableParagraph"/>
              <w:spacing w:line="127" w:lineRule="exact" w:before="23"/>
              <w:ind w:left="224"/>
              <w:jc w:val="left"/>
              <w:rPr>
                <w:b/>
                <w:sz w:val="17"/>
              </w:rPr>
            </w:pPr>
            <w:r>
              <w:rPr>
                <w:b/>
                <w:sz w:val="17"/>
              </w:rPr>
              <w:t>exigibilidad</w:t>
            </w:r>
          </w:p>
        </w:tc>
        <w:tc>
          <w:tcPr>
            <w:tcW w:w="1460" w:type="dxa"/>
            <w:vMerge w:val="restart"/>
            <w:tcBorders>
              <w:left w:val="single" w:sz="8" w:space="0" w:color="000000"/>
              <w:right w:val="single" w:sz="8" w:space="0" w:color="000000"/>
            </w:tcBorders>
          </w:tcPr>
          <w:p>
            <w:pPr>
              <w:pStyle w:val="TableParagraph"/>
              <w:spacing w:line="205" w:lineRule="exact" w:before="0"/>
              <w:ind w:left="199" w:right="172"/>
              <w:jc w:val="center"/>
              <w:rPr>
                <w:b/>
                <w:sz w:val="17"/>
              </w:rPr>
            </w:pPr>
            <w:r>
              <w:rPr>
                <w:b/>
                <w:sz w:val="17"/>
              </w:rPr>
              <w:t>Capital</w:t>
            </w:r>
          </w:p>
          <w:p>
            <w:pPr>
              <w:pStyle w:val="TableParagraph"/>
              <w:spacing w:line="127" w:lineRule="exact" w:before="23"/>
              <w:ind w:left="199" w:right="173"/>
              <w:jc w:val="center"/>
              <w:rPr>
                <w:b/>
                <w:sz w:val="17"/>
              </w:rPr>
            </w:pPr>
            <w:r>
              <w:rPr>
                <w:b/>
                <w:sz w:val="17"/>
              </w:rPr>
              <w:t>desembolsado</w:t>
            </w:r>
          </w:p>
        </w:tc>
      </w:tr>
      <w:tr>
        <w:trPr>
          <w:trHeight w:val="172" w:hRule="atLeast"/>
        </w:trPr>
        <w:tc>
          <w:tcPr>
            <w:tcW w:w="1203" w:type="dxa"/>
            <w:tcBorders>
              <w:left w:val="single" w:sz="8" w:space="0" w:color="000000"/>
              <w:right w:val="single" w:sz="8" w:space="0" w:color="000000"/>
            </w:tcBorders>
          </w:tcPr>
          <w:p>
            <w:pPr>
              <w:pStyle w:val="TableParagraph"/>
              <w:spacing w:line="152" w:lineRule="exact" w:before="0"/>
              <w:ind w:right="378"/>
              <w:rPr>
                <w:b/>
                <w:sz w:val="17"/>
              </w:rPr>
            </w:pPr>
            <w:r>
              <w:rPr>
                <w:b/>
                <w:w w:val="95"/>
                <w:sz w:val="17"/>
              </w:rPr>
              <w:t>Series</w:t>
            </w:r>
          </w:p>
        </w:tc>
        <w:tc>
          <w:tcPr>
            <w:tcW w:w="710" w:type="dxa"/>
            <w:vMerge/>
            <w:tcBorders>
              <w:top w:val="nil"/>
              <w:left w:val="single" w:sz="8" w:space="0" w:color="000000"/>
              <w:right w:val="single" w:sz="8" w:space="0" w:color="000000"/>
            </w:tcBorders>
          </w:tcPr>
          <w:p>
            <w:pPr>
              <w:rPr>
                <w:sz w:val="2"/>
                <w:szCs w:val="2"/>
              </w:rPr>
            </w:pPr>
          </w:p>
        </w:tc>
        <w:tc>
          <w:tcPr>
            <w:tcW w:w="1203" w:type="dxa"/>
            <w:vMerge/>
            <w:tcBorders>
              <w:top w:val="nil"/>
              <w:left w:val="single" w:sz="8" w:space="0" w:color="000000"/>
              <w:right w:val="single" w:sz="8" w:space="0" w:color="000000"/>
            </w:tcBorders>
          </w:tcPr>
          <w:p>
            <w:pPr>
              <w:rPr>
                <w:sz w:val="2"/>
                <w:szCs w:val="2"/>
              </w:rPr>
            </w:pPr>
          </w:p>
        </w:tc>
        <w:tc>
          <w:tcPr>
            <w:tcW w:w="1203" w:type="dxa"/>
            <w:vMerge/>
            <w:tcBorders>
              <w:top w:val="nil"/>
              <w:left w:val="single" w:sz="8" w:space="0" w:color="000000"/>
              <w:right w:val="single" w:sz="8" w:space="0" w:color="000000"/>
            </w:tcBorders>
          </w:tcPr>
          <w:p>
            <w:pPr>
              <w:rPr>
                <w:sz w:val="2"/>
                <w:szCs w:val="2"/>
              </w:rPr>
            </w:pPr>
          </w:p>
        </w:tc>
        <w:tc>
          <w:tcPr>
            <w:tcW w:w="1326" w:type="dxa"/>
            <w:vMerge/>
            <w:tcBorders>
              <w:top w:val="nil"/>
              <w:left w:val="single" w:sz="8" w:space="0" w:color="000000"/>
              <w:right w:val="single" w:sz="8" w:space="0" w:color="000000"/>
            </w:tcBorders>
          </w:tcPr>
          <w:p>
            <w:pPr>
              <w:rPr>
                <w:sz w:val="2"/>
                <w:szCs w:val="2"/>
              </w:rPr>
            </w:pPr>
          </w:p>
        </w:tc>
        <w:tc>
          <w:tcPr>
            <w:tcW w:w="1203" w:type="dxa"/>
            <w:vMerge/>
            <w:tcBorders>
              <w:top w:val="nil"/>
              <w:left w:val="single" w:sz="8" w:space="0" w:color="000000"/>
              <w:right w:val="single" w:sz="8" w:space="0" w:color="000000"/>
            </w:tcBorders>
          </w:tcPr>
          <w:p>
            <w:pPr>
              <w:rPr>
                <w:sz w:val="2"/>
                <w:szCs w:val="2"/>
              </w:rPr>
            </w:pPr>
          </w:p>
        </w:tc>
        <w:tc>
          <w:tcPr>
            <w:tcW w:w="1460" w:type="dxa"/>
            <w:vMerge/>
            <w:tcBorders>
              <w:top w:val="nil"/>
              <w:left w:val="single" w:sz="8" w:space="0" w:color="000000"/>
              <w:right w:val="single" w:sz="8" w:space="0" w:color="000000"/>
            </w:tcBorders>
          </w:tcPr>
          <w:p>
            <w:pPr>
              <w:rPr>
                <w:sz w:val="2"/>
                <w:szCs w:val="2"/>
              </w:rPr>
            </w:pPr>
          </w:p>
        </w:tc>
      </w:tr>
      <w:tr>
        <w:trPr>
          <w:trHeight w:val="172" w:hRule="atLeast"/>
        </w:trPr>
        <w:tc>
          <w:tcPr>
            <w:tcW w:w="1203" w:type="dxa"/>
            <w:tcBorders>
              <w:left w:val="single" w:sz="8" w:space="0" w:color="000000"/>
              <w:right w:val="single" w:sz="8" w:space="0" w:color="000000"/>
            </w:tcBorders>
          </w:tcPr>
          <w:p>
            <w:pPr>
              <w:pStyle w:val="TableParagraph"/>
              <w:spacing w:line="153" w:lineRule="exact" w:before="0"/>
              <w:ind w:left="31"/>
              <w:jc w:val="left"/>
              <w:rPr>
                <w:sz w:val="17"/>
              </w:rPr>
            </w:pPr>
            <w:r>
              <w:rPr>
                <w:w w:val="94"/>
                <w:sz w:val="17"/>
              </w:rPr>
              <w:t>A</w:t>
            </w:r>
          </w:p>
        </w:tc>
        <w:tc>
          <w:tcPr>
            <w:tcW w:w="710" w:type="dxa"/>
            <w:tcBorders>
              <w:left w:val="single" w:sz="8" w:space="0" w:color="000000"/>
              <w:right w:val="single" w:sz="8" w:space="0" w:color="000000"/>
            </w:tcBorders>
          </w:tcPr>
          <w:p>
            <w:pPr>
              <w:pStyle w:val="TableParagraph"/>
              <w:spacing w:line="153" w:lineRule="exact" w:before="0"/>
              <w:ind w:right="8"/>
              <w:rPr>
                <w:sz w:val="17"/>
              </w:rPr>
            </w:pPr>
            <w:r>
              <w:rPr>
                <w:w w:val="90"/>
                <w:sz w:val="17"/>
              </w:rPr>
              <w:t>50</w:t>
            </w:r>
          </w:p>
        </w:tc>
        <w:tc>
          <w:tcPr>
            <w:tcW w:w="1203" w:type="dxa"/>
            <w:tcBorders>
              <w:left w:val="single" w:sz="8" w:space="0" w:color="000000"/>
              <w:right w:val="single" w:sz="8" w:space="0" w:color="000000"/>
            </w:tcBorders>
          </w:tcPr>
          <w:p>
            <w:pPr>
              <w:pStyle w:val="TableParagraph"/>
              <w:spacing w:line="153" w:lineRule="exact" w:before="0"/>
              <w:ind w:left="428"/>
              <w:jc w:val="left"/>
              <w:rPr>
                <w:sz w:val="17"/>
              </w:rPr>
            </w:pPr>
            <w:r>
              <w:rPr>
                <w:sz w:val="17"/>
              </w:rPr>
              <w:t>60,11</w:t>
            </w:r>
          </w:p>
        </w:tc>
        <w:tc>
          <w:tcPr>
            <w:tcW w:w="1203" w:type="dxa"/>
            <w:tcBorders>
              <w:left w:val="single" w:sz="8" w:space="0" w:color="000000"/>
              <w:right w:val="single" w:sz="8" w:space="0" w:color="000000"/>
            </w:tcBorders>
          </w:tcPr>
          <w:p>
            <w:pPr>
              <w:pStyle w:val="TableParagraph"/>
              <w:spacing w:line="153" w:lineRule="exact" w:before="0"/>
              <w:ind w:left="601"/>
              <w:jc w:val="left"/>
              <w:rPr>
                <w:sz w:val="17"/>
              </w:rPr>
            </w:pPr>
            <w:r>
              <w:rPr>
                <w:w w:val="95"/>
                <w:sz w:val="17"/>
              </w:rPr>
              <w:t>3.005,06</w:t>
            </w:r>
          </w:p>
        </w:tc>
        <w:tc>
          <w:tcPr>
            <w:tcW w:w="1326" w:type="dxa"/>
            <w:tcBorders>
              <w:left w:val="single" w:sz="8" w:space="0" w:color="000000"/>
              <w:right w:val="single" w:sz="8" w:space="0" w:color="000000"/>
            </w:tcBorders>
          </w:tcPr>
          <w:p>
            <w:pPr>
              <w:pStyle w:val="TableParagraph"/>
              <w:spacing w:before="0"/>
              <w:jc w:val="left"/>
              <w:rPr>
                <w:rFonts w:ascii="Times New Roman"/>
                <w:sz w:val="10"/>
              </w:rPr>
            </w:pPr>
          </w:p>
        </w:tc>
        <w:tc>
          <w:tcPr>
            <w:tcW w:w="1203" w:type="dxa"/>
            <w:tcBorders>
              <w:left w:val="single" w:sz="8" w:space="0" w:color="000000"/>
              <w:right w:val="single" w:sz="8" w:space="0" w:color="000000"/>
            </w:tcBorders>
          </w:tcPr>
          <w:p>
            <w:pPr>
              <w:pStyle w:val="TableParagraph"/>
              <w:spacing w:before="0"/>
              <w:jc w:val="left"/>
              <w:rPr>
                <w:rFonts w:ascii="Times New Roman"/>
                <w:sz w:val="10"/>
              </w:rPr>
            </w:pPr>
          </w:p>
        </w:tc>
        <w:tc>
          <w:tcPr>
            <w:tcW w:w="1460" w:type="dxa"/>
            <w:tcBorders>
              <w:left w:val="single" w:sz="8" w:space="0" w:color="000000"/>
              <w:right w:val="single" w:sz="8" w:space="0" w:color="000000"/>
            </w:tcBorders>
          </w:tcPr>
          <w:p>
            <w:pPr>
              <w:pStyle w:val="TableParagraph"/>
              <w:spacing w:line="153" w:lineRule="exact" w:before="0"/>
              <w:ind w:left="865"/>
              <w:jc w:val="left"/>
              <w:rPr>
                <w:sz w:val="17"/>
              </w:rPr>
            </w:pPr>
            <w:r>
              <w:rPr>
                <w:w w:val="95"/>
                <w:sz w:val="17"/>
              </w:rPr>
              <w:t>3.005,06</w:t>
            </w:r>
          </w:p>
        </w:tc>
      </w:tr>
    </w:tbl>
    <w:p>
      <w:pPr>
        <w:pStyle w:val="BodyText"/>
        <w:spacing w:before="8"/>
        <w:rPr>
          <w:sz w:val="22"/>
        </w:rPr>
      </w:pPr>
    </w:p>
    <w:p>
      <w:pPr>
        <w:pStyle w:val="BodyText"/>
        <w:spacing w:line="302" w:lineRule="auto"/>
        <w:ind w:left="403" w:right="483"/>
      </w:pPr>
      <w:r>
        <w:rPr>
          <w:w w:val="105"/>
        </w:rPr>
        <w:t>La totalidad del capital social se encuentra desembolsado, siendo el Excelentísimo Ayuntamiento de los Realejos titular del 100 % de las participaciones.</w:t>
      </w:r>
    </w:p>
    <w:p>
      <w:pPr>
        <w:pStyle w:val="BodyText"/>
        <w:spacing w:before="123"/>
        <w:ind w:left="403"/>
      </w:pPr>
      <w:r>
        <w:rPr>
          <w:w w:val="105"/>
        </w:rPr>
        <w:t>Existen las siguientes circunstancias que restringen la disponibilidad de las reservas:</w:t>
      </w:r>
    </w:p>
    <w:p>
      <w:pPr>
        <w:pStyle w:val="BodyText"/>
        <w:spacing w:before="9"/>
        <w:rPr>
          <w:sz w:val="13"/>
        </w:rPr>
      </w:pPr>
    </w:p>
    <w:p>
      <w:pPr>
        <w:pStyle w:val="Heading3"/>
      </w:pPr>
      <w:r>
        <w:rPr>
          <w:w w:val="105"/>
          <w:u w:val="single"/>
        </w:rPr>
        <w:t>Reserva Legal</w:t>
      </w:r>
    </w:p>
    <w:p>
      <w:pPr>
        <w:pStyle w:val="BodyText"/>
        <w:spacing w:before="7"/>
        <w:rPr>
          <w:b/>
          <w:sz w:val="8"/>
        </w:rPr>
      </w:pPr>
    </w:p>
    <w:p>
      <w:pPr>
        <w:pStyle w:val="BodyText"/>
        <w:spacing w:line="300" w:lineRule="auto" w:before="72"/>
        <w:ind w:left="403" w:right="438"/>
        <w:jc w:val="both"/>
      </w:pPr>
      <w:r>
        <w:rPr>
          <w:w w:val="105"/>
        </w:rPr>
        <w:t>El 10% de los Beneficios debe destinarse a la constitución </w:t>
      </w:r>
      <w:r>
        <w:rPr>
          <w:spacing w:val="2"/>
          <w:w w:val="105"/>
        </w:rPr>
        <w:t>de </w:t>
      </w:r>
      <w:r>
        <w:rPr>
          <w:w w:val="105"/>
        </w:rPr>
        <w:t>la Reserva Legal, hasta que dicha reserva alcance el 20% del Capital Social. El único destino posible </w:t>
      </w:r>
      <w:r>
        <w:rPr>
          <w:spacing w:val="2"/>
          <w:w w:val="105"/>
        </w:rPr>
        <w:t>de </w:t>
      </w:r>
      <w:r>
        <w:rPr>
          <w:w w:val="105"/>
        </w:rPr>
        <w:t>la Reserva Legal es la compensación </w:t>
      </w:r>
      <w:r>
        <w:rPr>
          <w:spacing w:val="2"/>
          <w:w w:val="105"/>
        </w:rPr>
        <w:t>de </w:t>
      </w:r>
      <w:r>
        <w:rPr>
          <w:w w:val="105"/>
        </w:rPr>
        <w:t>pérdidas o la ampliación de Capital por la parte que exceda del 10% del Capital ya</w:t>
      </w:r>
      <w:r>
        <w:rPr>
          <w:spacing w:val="28"/>
          <w:w w:val="105"/>
        </w:rPr>
        <w:t> </w:t>
      </w:r>
      <w:r>
        <w:rPr>
          <w:w w:val="105"/>
        </w:rPr>
        <w:t>aumentado.</w:t>
      </w:r>
    </w:p>
    <w:p>
      <w:pPr>
        <w:pStyle w:val="BodyText"/>
        <w:spacing w:line="300" w:lineRule="auto" w:before="123"/>
        <w:ind w:left="403" w:right="422"/>
        <w:jc w:val="both"/>
      </w:pPr>
      <w:r>
        <w:rPr>
          <w:w w:val="105"/>
        </w:rPr>
        <w:t>De acuerdo con la Ley de Sociedades </w:t>
      </w:r>
      <w:r>
        <w:rPr>
          <w:spacing w:val="2"/>
          <w:w w:val="105"/>
        </w:rPr>
        <w:t>de </w:t>
      </w:r>
      <w:r>
        <w:rPr>
          <w:w w:val="105"/>
        </w:rPr>
        <w:t>Capital, la Reserva Legal, mientras no supere el límite del 20% del capital social, no es distribuible a </w:t>
      </w:r>
      <w:r>
        <w:rPr>
          <w:spacing w:val="2"/>
          <w:w w:val="105"/>
        </w:rPr>
        <w:t>los </w:t>
      </w:r>
      <w:r>
        <w:rPr>
          <w:w w:val="105"/>
        </w:rPr>
        <w:t>partícipes y sólo podrá destinarse, en el caso </w:t>
      </w:r>
      <w:r>
        <w:rPr>
          <w:spacing w:val="2"/>
          <w:w w:val="105"/>
        </w:rPr>
        <w:t>de no </w:t>
      </w:r>
      <w:r>
        <w:rPr>
          <w:w w:val="105"/>
        </w:rPr>
        <w:t>tener otras reservas disponibles, a la compensación de pérdidas. Esta Reserva podrá utilizarse igualmente para aumentar el capital social en la parte que exceda del 10% del capital ya</w:t>
      </w:r>
      <w:r>
        <w:rPr>
          <w:spacing w:val="19"/>
          <w:w w:val="105"/>
        </w:rPr>
        <w:t> </w:t>
      </w:r>
      <w:r>
        <w:rPr>
          <w:w w:val="105"/>
        </w:rPr>
        <w:t>aumentado.</w:t>
      </w:r>
    </w:p>
    <w:p>
      <w:pPr>
        <w:pStyle w:val="BodyText"/>
        <w:spacing w:line="304" w:lineRule="auto" w:before="119"/>
        <w:ind w:left="403" w:right="426"/>
        <w:jc w:val="both"/>
      </w:pPr>
      <w:r>
        <w:rPr>
          <w:w w:val="105"/>
        </w:rPr>
        <w:t>El Saldo que figura al final del ejercicio es </w:t>
      </w:r>
      <w:r>
        <w:rPr>
          <w:spacing w:val="2"/>
          <w:w w:val="105"/>
        </w:rPr>
        <w:t>de </w:t>
      </w:r>
      <w:r>
        <w:rPr>
          <w:w w:val="105"/>
        </w:rPr>
        <w:t>601,00 euros. La reserva legal está totalmente dotada a 31 de  diciembre de 2024 y</w:t>
      </w:r>
      <w:r>
        <w:rPr>
          <w:spacing w:val="8"/>
          <w:w w:val="105"/>
        </w:rPr>
        <w:t> </w:t>
      </w:r>
      <w:r>
        <w:rPr>
          <w:w w:val="105"/>
        </w:rPr>
        <w:t>2023.</w:t>
      </w:r>
    </w:p>
    <w:p>
      <w:pPr>
        <w:pStyle w:val="Heading3"/>
        <w:spacing w:before="118"/>
        <w:jc w:val="both"/>
      </w:pPr>
      <w:r>
        <w:rPr>
          <w:w w:val="105"/>
          <w:u w:val="single"/>
        </w:rPr>
        <w:t>Reservas Voluntarias</w:t>
      </w:r>
    </w:p>
    <w:p>
      <w:pPr>
        <w:pStyle w:val="BodyText"/>
        <w:spacing w:before="126"/>
        <w:ind w:left="403"/>
        <w:jc w:val="both"/>
      </w:pPr>
      <w:r>
        <w:rPr>
          <w:w w:val="105"/>
        </w:rPr>
        <w:t>El saldo que figura al 31 de diciembre de 2024 y 2023 es de 37.799,45 euros.</w:t>
      </w:r>
    </w:p>
    <w:p>
      <w:pPr>
        <w:pStyle w:val="BodyText"/>
        <w:rPr>
          <w:sz w:val="18"/>
        </w:rPr>
      </w:pPr>
    </w:p>
    <w:p>
      <w:pPr>
        <w:pStyle w:val="Heading1"/>
        <w:numPr>
          <w:ilvl w:val="0"/>
          <w:numId w:val="1"/>
        </w:numPr>
        <w:tabs>
          <w:tab w:pos="971" w:val="left" w:leader="none"/>
          <w:tab w:pos="972" w:val="left" w:leader="none"/>
        </w:tabs>
        <w:spacing w:line="240" w:lineRule="auto" w:before="138" w:after="0"/>
        <w:ind w:left="971" w:right="0" w:hanging="569"/>
        <w:jc w:val="left"/>
      </w:pPr>
      <w:r>
        <w:rPr/>
        <w:t>Situación</w:t>
      </w:r>
      <w:r>
        <w:rPr>
          <w:spacing w:val="-1"/>
        </w:rPr>
        <w:t> </w:t>
      </w:r>
      <w:r>
        <w:rPr/>
        <w:t>fiscal</w:t>
      </w:r>
    </w:p>
    <w:p>
      <w:pPr>
        <w:pStyle w:val="BodyText"/>
        <w:spacing w:line="304" w:lineRule="auto" w:before="157"/>
        <w:ind w:left="403" w:right="418"/>
        <w:jc w:val="both"/>
      </w:pPr>
      <w:r>
        <w:rPr>
          <w:w w:val="105"/>
        </w:rPr>
        <w:t>El detalle de los saldos mantenidos con las Administraciones Públicas al 31 de diciembre de 2024 y 2023 es el siguiente:</w:t>
      </w:r>
    </w:p>
    <w:p>
      <w:pPr>
        <w:pStyle w:val="BodyText"/>
        <w:spacing w:before="12"/>
        <w:rPr>
          <w:sz w:val="4"/>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6"/>
        <w:gridCol w:w="1334"/>
        <w:gridCol w:w="1334"/>
        <w:gridCol w:w="1341"/>
        <w:gridCol w:w="1334"/>
      </w:tblGrid>
      <w:tr>
        <w:trPr>
          <w:trHeight w:val="280" w:hRule="atLeast"/>
        </w:trPr>
        <w:tc>
          <w:tcPr>
            <w:tcW w:w="3286" w:type="dxa"/>
            <w:vMerge w:val="restart"/>
            <w:shd w:val="clear" w:color="auto" w:fill="D9D9D9"/>
          </w:tcPr>
          <w:p>
            <w:pPr>
              <w:pStyle w:val="TableParagraph"/>
              <w:spacing w:before="0"/>
              <w:jc w:val="left"/>
              <w:rPr>
                <w:rFonts w:ascii="Times New Roman"/>
                <w:sz w:val="16"/>
              </w:rPr>
            </w:pPr>
          </w:p>
        </w:tc>
        <w:tc>
          <w:tcPr>
            <w:tcW w:w="2668" w:type="dxa"/>
            <w:gridSpan w:val="2"/>
            <w:shd w:val="clear" w:color="auto" w:fill="D9D9D9"/>
          </w:tcPr>
          <w:p>
            <w:pPr>
              <w:pStyle w:val="TableParagraph"/>
              <w:spacing w:line="173" w:lineRule="exact" w:before="87"/>
              <w:ind w:left="921" w:right="909"/>
              <w:jc w:val="center"/>
              <w:rPr>
                <w:b/>
                <w:sz w:val="16"/>
              </w:rPr>
            </w:pPr>
            <w:r>
              <w:rPr>
                <w:b/>
                <w:sz w:val="16"/>
              </w:rPr>
              <w:t>31/12/2024</w:t>
            </w:r>
          </w:p>
        </w:tc>
        <w:tc>
          <w:tcPr>
            <w:tcW w:w="2675" w:type="dxa"/>
            <w:gridSpan w:val="2"/>
            <w:shd w:val="clear" w:color="auto" w:fill="D9D9D9"/>
          </w:tcPr>
          <w:p>
            <w:pPr>
              <w:pStyle w:val="TableParagraph"/>
              <w:spacing w:line="173" w:lineRule="exact" w:before="87"/>
              <w:ind w:left="936" w:right="901"/>
              <w:jc w:val="center"/>
              <w:rPr>
                <w:b/>
                <w:sz w:val="16"/>
              </w:rPr>
            </w:pPr>
            <w:r>
              <w:rPr>
                <w:b/>
                <w:sz w:val="16"/>
              </w:rPr>
              <w:t>31/12/2023</w:t>
            </w:r>
          </w:p>
        </w:tc>
      </w:tr>
      <w:tr>
        <w:trPr>
          <w:trHeight w:val="287" w:hRule="atLeast"/>
        </w:trPr>
        <w:tc>
          <w:tcPr>
            <w:tcW w:w="3286" w:type="dxa"/>
            <w:vMerge/>
            <w:tcBorders>
              <w:top w:val="nil"/>
            </w:tcBorders>
            <w:shd w:val="clear" w:color="auto" w:fill="D9D9D9"/>
          </w:tcPr>
          <w:p>
            <w:pPr>
              <w:rPr>
                <w:sz w:val="2"/>
                <w:szCs w:val="2"/>
              </w:rPr>
            </w:pPr>
          </w:p>
        </w:tc>
        <w:tc>
          <w:tcPr>
            <w:tcW w:w="1334" w:type="dxa"/>
            <w:shd w:val="clear" w:color="auto" w:fill="D9D9D9"/>
          </w:tcPr>
          <w:p>
            <w:pPr>
              <w:pStyle w:val="TableParagraph"/>
              <w:spacing w:line="173" w:lineRule="exact" w:before="94"/>
              <w:ind w:left="371"/>
              <w:jc w:val="left"/>
              <w:rPr>
                <w:b/>
                <w:sz w:val="16"/>
              </w:rPr>
            </w:pPr>
            <w:r>
              <w:rPr>
                <w:b/>
                <w:sz w:val="16"/>
              </w:rPr>
              <w:t>A Cobrar</w:t>
            </w:r>
          </w:p>
        </w:tc>
        <w:tc>
          <w:tcPr>
            <w:tcW w:w="1334" w:type="dxa"/>
            <w:shd w:val="clear" w:color="auto" w:fill="D9D9D9"/>
          </w:tcPr>
          <w:p>
            <w:pPr>
              <w:pStyle w:val="TableParagraph"/>
              <w:spacing w:line="173" w:lineRule="exact" w:before="94"/>
              <w:ind w:left="414"/>
              <w:jc w:val="left"/>
              <w:rPr>
                <w:b/>
                <w:sz w:val="16"/>
              </w:rPr>
            </w:pPr>
            <w:r>
              <w:rPr>
                <w:b/>
                <w:sz w:val="16"/>
              </w:rPr>
              <w:t>A Pagar</w:t>
            </w:r>
          </w:p>
        </w:tc>
        <w:tc>
          <w:tcPr>
            <w:tcW w:w="1341" w:type="dxa"/>
            <w:shd w:val="clear" w:color="auto" w:fill="D9D9D9"/>
          </w:tcPr>
          <w:p>
            <w:pPr>
              <w:pStyle w:val="TableParagraph"/>
              <w:spacing w:line="173" w:lineRule="exact" w:before="94"/>
              <w:ind w:left="379"/>
              <w:jc w:val="left"/>
              <w:rPr>
                <w:b/>
                <w:sz w:val="16"/>
              </w:rPr>
            </w:pPr>
            <w:r>
              <w:rPr>
                <w:b/>
                <w:sz w:val="16"/>
              </w:rPr>
              <w:t>A Cobrar</w:t>
            </w:r>
          </w:p>
        </w:tc>
        <w:tc>
          <w:tcPr>
            <w:tcW w:w="1334" w:type="dxa"/>
            <w:shd w:val="clear" w:color="auto" w:fill="D9D9D9"/>
          </w:tcPr>
          <w:p>
            <w:pPr>
              <w:pStyle w:val="TableParagraph"/>
              <w:spacing w:line="173" w:lineRule="exact" w:before="94"/>
              <w:ind w:left="408"/>
              <w:jc w:val="left"/>
              <w:rPr>
                <w:b/>
                <w:sz w:val="16"/>
              </w:rPr>
            </w:pPr>
            <w:r>
              <w:rPr>
                <w:b/>
                <w:sz w:val="16"/>
              </w:rPr>
              <w:t>A Pagar</w:t>
            </w:r>
          </w:p>
        </w:tc>
      </w:tr>
      <w:tr>
        <w:trPr>
          <w:trHeight w:val="280" w:hRule="atLeast"/>
        </w:trPr>
        <w:tc>
          <w:tcPr>
            <w:tcW w:w="3286" w:type="dxa"/>
          </w:tcPr>
          <w:p>
            <w:pPr>
              <w:pStyle w:val="TableParagraph"/>
              <w:ind w:left="73"/>
              <w:jc w:val="left"/>
              <w:rPr>
                <w:sz w:val="16"/>
              </w:rPr>
            </w:pPr>
            <w:r>
              <w:rPr>
                <w:sz w:val="16"/>
              </w:rPr>
              <w:t>Pasivos por impuestos diferidos</w:t>
            </w:r>
          </w:p>
        </w:tc>
        <w:tc>
          <w:tcPr>
            <w:tcW w:w="1334" w:type="dxa"/>
          </w:tcPr>
          <w:p>
            <w:pPr>
              <w:pStyle w:val="TableParagraph"/>
              <w:ind w:right="62"/>
              <w:rPr>
                <w:sz w:val="16"/>
              </w:rPr>
            </w:pPr>
            <w:r>
              <w:rPr>
                <w:w w:val="101"/>
                <w:sz w:val="16"/>
              </w:rPr>
              <w:t>-</w:t>
            </w:r>
          </w:p>
        </w:tc>
        <w:tc>
          <w:tcPr>
            <w:tcW w:w="1334" w:type="dxa"/>
          </w:tcPr>
          <w:p>
            <w:pPr>
              <w:pStyle w:val="TableParagraph"/>
              <w:ind w:right="44"/>
              <w:rPr>
                <w:sz w:val="16"/>
              </w:rPr>
            </w:pPr>
            <w:r>
              <w:rPr>
                <w:sz w:val="16"/>
              </w:rPr>
              <w:t>12.891,31</w:t>
            </w:r>
          </w:p>
        </w:tc>
        <w:tc>
          <w:tcPr>
            <w:tcW w:w="1341" w:type="dxa"/>
          </w:tcPr>
          <w:p>
            <w:pPr>
              <w:pStyle w:val="TableParagraph"/>
              <w:ind w:right="55"/>
              <w:rPr>
                <w:sz w:val="16"/>
              </w:rPr>
            </w:pPr>
            <w:r>
              <w:rPr>
                <w:w w:val="101"/>
                <w:sz w:val="16"/>
              </w:rPr>
              <w:t>-</w:t>
            </w:r>
          </w:p>
        </w:tc>
        <w:tc>
          <w:tcPr>
            <w:tcW w:w="1334" w:type="dxa"/>
          </w:tcPr>
          <w:p>
            <w:pPr>
              <w:pStyle w:val="TableParagraph"/>
              <w:ind w:right="51"/>
              <w:rPr>
                <w:sz w:val="16"/>
              </w:rPr>
            </w:pPr>
            <w:r>
              <w:rPr>
                <w:sz w:val="16"/>
              </w:rPr>
              <w:t>4.639,47</w:t>
            </w:r>
          </w:p>
        </w:tc>
      </w:tr>
      <w:tr>
        <w:trPr>
          <w:trHeight w:val="281" w:hRule="atLeast"/>
        </w:trPr>
        <w:tc>
          <w:tcPr>
            <w:tcW w:w="3286" w:type="dxa"/>
          </w:tcPr>
          <w:p>
            <w:pPr>
              <w:pStyle w:val="TableParagraph"/>
              <w:ind w:left="73"/>
              <w:jc w:val="left"/>
              <w:rPr>
                <w:sz w:val="16"/>
              </w:rPr>
            </w:pPr>
            <w:r>
              <w:rPr>
                <w:sz w:val="16"/>
              </w:rPr>
              <w:t>Cuotas a la Seguridad Social</w:t>
            </w:r>
          </w:p>
        </w:tc>
        <w:tc>
          <w:tcPr>
            <w:tcW w:w="1334" w:type="dxa"/>
          </w:tcPr>
          <w:p>
            <w:pPr>
              <w:pStyle w:val="TableParagraph"/>
              <w:ind w:right="62"/>
              <w:rPr>
                <w:sz w:val="16"/>
              </w:rPr>
            </w:pPr>
            <w:r>
              <w:rPr>
                <w:w w:val="101"/>
                <w:sz w:val="16"/>
              </w:rPr>
              <w:t>-</w:t>
            </w:r>
          </w:p>
        </w:tc>
        <w:tc>
          <w:tcPr>
            <w:tcW w:w="1334" w:type="dxa"/>
          </w:tcPr>
          <w:p>
            <w:pPr>
              <w:pStyle w:val="TableParagraph"/>
              <w:ind w:right="44"/>
              <w:rPr>
                <w:sz w:val="16"/>
              </w:rPr>
            </w:pPr>
            <w:r>
              <w:rPr>
                <w:sz w:val="16"/>
              </w:rPr>
              <w:t>6.415,06</w:t>
            </w:r>
          </w:p>
        </w:tc>
        <w:tc>
          <w:tcPr>
            <w:tcW w:w="1341" w:type="dxa"/>
          </w:tcPr>
          <w:p>
            <w:pPr>
              <w:pStyle w:val="TableParagraph"/>
              <w:ind w:right="55"/>
              <w:rPr>
                <w:sz w:val="16"/>
              </w:rPr>
            </w:pPr>
            <w:r>
              <w:rPr>
                <w:w w:val="101"/>
                <w:sz w:val="16"/>
              </w:rPr>
              <w:t>-</w:t>
            </w:r>
          </w:p>
        </w:tc>
        <w:tc>
          <w:tcPr>
            <w:tcW w:w="1334" w:type="dxa"/>
          </w:tcPr>
          <w:p>
            <w:pPr>
              <w:pStyle w:val="TableParagraph"/>
              <w:ind w:right="51"/>
              <w:rPr>
                <w:sz w:val="16"/>
              </w:rPr>
            </w:pPr>
            <w:r>
              <w:rPr>
                <w:sz w:val="16"/>
              </w:rPr>
              <w:t>5.774,85</w:t>
            </w:r>
          </w:p>
        </w:tc>
      </w:tr>
      <w:tr>
        <w:trPr>
          <w:trHeight w:val="287" w:hRule="atLeast"/>
        </w:trPr>
        <w:tc>
          <w:tcPr>
            <w:tcW w:w="3286" w:type="dxa"/>
          </w:tcPr>
          <w:p>
            <w:pPr>
              <w:pStyle w:val="TableParagraph"/>
              <w:spacing w:before="52"/>
              <w:ind w:left="73"/>
              <w:jc w:val="left"/>
              <w:rPr>
                <w:sz w:val="16"/>
              </w:rPr>
            </w:pPr>
            <w:r>
              <w:rPr>
                <w:sz w:val="16"/>
              </w:rPr>
              <w:t>Retención por IRPF</w:t>
            </w:r>
          </w:p>
        </w:tc>
        <w:tc>
          <w:tcPr>
            <w:tcW w:w="1334" w:type="dxa"/>
          </w:tcPr>
          <w:p>
            <w:pPr>
              <w:pStyle w:val="TableParagraph"/>
              <w:spacing w:before="52"/>
              <w:ind w:right="62"/>
              <w:rPr>
                <w:sz w:val="16"/>
              </w:rPr>
            </w:pPr>
            <w:r>
              <w:rPr>
                <w:w w:val="101"/>
                <w:sz w:val="16"/>
              </w:rPr>
              <w:t>-</w:t>
            </w:r>
          </w:p>
        </w:tc>
        <w:tc>
          <w:tcPr>
            <w:tcW w:w="1334" w:type="dxa"/>
          </w:tcPr>
          <w:p>
            <w:pPr>
              <w:pStyle w:val="TableParagraph"/>
              <w:spacing w:before="52"/>
              <w:ind w:right="44"/>
              <w:rPr>
                <w:sz w:val="16"/>
              </w:rPr>
            </w:pPr>
            <w:r>
              <w:rPr>
                <w:sz w:val="16"/>
              </w:rPr>
              <w:t>7.535,16</w:t>
            </w:r>
          </w:p>
        </w:tc>
        <w:tc>
          <w:tcPr>
            <w:tcW w:w="1341" w:type="dxa"/>
          </w:tcPr>
          <w:p>
            <w:pPr>
              <w:pStyle w:val="TableParagraph"/>
              <w:spacing w:before="52"/>
              <w:ind w:right="55"/>
              <w:rPr>
                <w:sz w:val="16"/>
              </w:rPr>
            </w:pPr>
            <w:r>
              <w:rPr>
                <w:w w:val="101"/>
                <w:sz w:val="16"/>
              </w:rPr>
              <w:t>-</w:t>
            </w:r>
          </w:p>
        </w:tc>
        <w:tc>
          <w:tcPr>
            <w:tcW w:w="1334" w:type="dxa"/>
          </w:tcPr>
          <w:p>
            <w:pPr>
              <w:pStyle w:val="TableParagraph"/>
              <w:spacing w:before="52"/>
              <w:ind w:right="51"/>
              <w:rPr>
                <w:sz w:val="16"/>
              </w:rPr>
            </w:pPr>
            <w:r>
              <w:rPr>
                <w:sz w:val="16"/>
              </w:rPr>
              <w:t>6.387,34</w:t>
            </w:r>
          </w:p>
        </w:tc>
      </w:tr>
      <w:tr>
        <w:trPr>
          <w:trHeight w:val="281" w:hRule="atLeast"/>
        </w:trPr>
        <w:tc>
          <w:tcPr>
            <w:tcW w:w="3286" w:type="dxa"/>
          </w:tcPr>
          <w:p>
            <w:pPr>
              <w:pStyle w:val="TableParagraph"/>
              <w:ind w:left="73"/>
              <w:jc w:val="left"/>
              <w:rPr>
                <w:sz w:val="16"/>
              </w:rPr>
            </w:pPr>
            <w:r>
              <w:rPr>
                <w:sz w:val="16"/>
              </w:rPr>
              <w:t>Impuesto General Indirecto Canario</w:t>
            </w:r>
          </w:p>
        </w:tc>
        <w:tc>
          <w:tcPr>
            <w:tcW w:w="1334" w:type="dxa"/>
          </w:tcPr>
          <w:p>
            <w:pPr>
              <w:pStyle w:val="TableParagraph"/>
              <w:ind w:right="59"/>
              <w:rPr>
                <w:sz w:val="16"/>
              </w:rPr>
            </w:pPr>
            <w:r>
              <w:rPr>
                <w:sz w:val="16"/>
              </w:rPr>
              <w:t>1.436,15</w:t>
            </w:r>
          </w:p>
        </w:tc>
        <w:tc>
          <w:tcPr>
            <w:tcW w:w="1334" w:type="dxa"/>
          </w:tcPr>
          <w:p>
            <w:pPr>
              <w:pStyle w:val="TableParagraph"/>
              <w:ind w:right="48"/>
              <w:rPr>
                <w:sz w:val="16"/>
              </w:rPr>
            </w:pPr>
            <w:r>
              <w:rPr>
                <w:w w:val="101"/>
                <w:sz w:val="16"/>
              </w:rPr>
              <w:t>-</w:t>
            </w:r>
          </w:p>
        </w:tc>
        <w:tc>
          <w:tcPr>
            <w:tcW w:w="1341" w:type="dxa"/>
          </w:tcPr>
          <w:p>
            <w:pPr>
              <w:pStyle w:val="TableParagraph"/>
              <w:ind w:right="51"/>
              <w:rPr>
                <w:sz w:val="16"/>
              </w:rPr>
            </w:pPr>
            <w:r>
              <w:rPr>
                <w:sz w:val="16"/>
              </w:rPr>
              <w:t>2.843,55</w:t>
            </w:r>
          </w:p>
        </w:tc>
        <w:tc>
          <w:tcPr>
            <w:tcW w:w="1334" w:type="dxa"/>
          </w:tcPr>
          <w:p>
            <w:pPr>
              <w:pStyle w:val="TableParagraph"/>
              <w:ind w:right="54"/>
              <w:rPr>
                <w:sz w:val="16"/>
              </w:rPr>
            </w:pPr>
            <w:r>
              <w:rPr>
                <w:w w:val="101"/>
                <w:sz w:val="16"/>
              </w:rPr>
              <w:t>-</w:t>
            </w:r>
          </w:p>
        </w:tc>
      </w:tr>
      <w:tr>
        <w:trPr>
          <w:trHeight w:val="287" w:hRule="atLeast"/>
        </w:trPr>
        <w:tc>
          <w:tcPr>
            <w:tcW w:w="3286" w:type="dxa"/>
          </w:tcPr>
          <w:p>
            <w:pPr>
              <w:pStyle w:val="TableParagraph"/>
              <w:ind w:left="73"/>
              <w:jc w:val="left"/>
              <w:rPr>
                <w:b/>
                <w:sz w:val="16"/>
              </w:rPr>
            </w:pPr>
            <w:r>
              <w:rPr>
                <w:b/>
                <w:sz w:val="16"/>
              </w:rPr>
              <w:t>Totales</w:t>
            </w:r>
          </w:p>
        </w:tc>
        <w:tc>
          <w:tcPr>
            <w:tcW w:w="1334" w:type="dxa"/>
          </w:tcPr>
          <w:p>
            <w:pPr>
              <w:pStyle w:val="TableParagraph"/>
              <w:ind w:right="59"/>
              <w:rPr>
                <w:b/>
                <w:sz w:val="16"/>
              </w:rPr>
            </w:pPr>
            <w:r>
              <w:rPr>
                <w:b/>
                <w:sz w:val="16"/>
              </w:rPr>
              <w:t>1.436,15</w:t>
            </w:r>
          </w:p>
        </w:tc>
        <w:tc>
          <w:tcPr>
            <w:tcW w:w="1334" w:type="dxa"/>
          </w:tcPr>
          <w:p>
            <w:pPr>
              <w:pStyle w:val="TableParagraph"/>
              <w:ind w:right="45"/>
              <w:rPr>
                <w:b/>
                <w:sz w:val="16"/>
              </w:rPr>
            </w:pPr>
            <w:r>
              <w:rPr>
                <w:b/>
                <w:sz w:val="16"/>
              </w:rPr>
              <w:t>26.855,53</w:t>
            </w:r>
          </w:p>
        </w:tc>
        <w:tc>
          <w:tcPr>
            <w:tcW w:w="1341" w:type="dxa"/>
          </w:tcPr>
          <w:p>
            <w:pPr>
              <w:pStyle w:val="TableParagraph"/>
              <w:ind w:right="51"/>
              <w:rPr>
                <w:b/>
                <w:sz w:val="16"/>
              </w:rPr>
            </w:pPr>
            <w:r>
              <w:rPr>
                <w:b/>
                <w:sz w:val="16"/>
              </w:rPr>
              <w:t>2.843,55</w:t>
            </w:r>
          </w:p>
        </w:tc>
        <w:tc>
          <w:tcPr>
            <w:tcW w:w="1334" w:type="dxa"/>
          </w:tcPr>
          <w:p>
            <w:pPr>
              <w:pStyle w:val="TableParagraph"/>
              <w:ind w:right="51"/>
              <w:rPr>
                <w:b/>
                <w:sz w:val="16"/>
              </w:rPr>
            </w:pPr>
            <w:r>
              <w:rPr>
                <w:b/>
                <w:sz w:val="16"/>
              </w:rPr>
              <w:t>16.801,66</w:t>
            </w:r>
          </w:p>
        </w:tc>
      </w:tr>
    </w:tbl>
    <w:p>
      <w:pPr>
        <w:pStyle w:val="BodyText"/>
        <w:spacing w:before="6"/>
        <w:rPr>
          <w:sz w:val="13"/>
        </w:rPr>
      </w:pPr>
    </w:p>
    <w:p>
      <w:pPr>
        <w:pStyle w:val="BodyText"/>
        <w:ind w:left="403"/>
        <w:jc w:val="both"/>
      </w:pPr>
      <w:r>
        <w:rPr>
          <w:w w:val="105"/>
        </w:rPr>
        <w:t>Desglose del gasto/ingreso por impuesto sobre beneficios en el ejercicio 2024 y 2023:</w:t>
      </w:r>
    </w:p>
    <w:p>
      <w:pPr>
        <w:spacing w:after="0"/>
        <w:jc w:val="both"/>
        <w:sectPr>
          <w:pgSz w:w="11920" w:h="16850"/>
          <w:pgMar w:header="735" w:footer="891" w:top="1600" w:bottom="1080" w:left="1300" w:right="1300"/>
        </w:sectPr>
      </w:pPr>
    </w:p>
    <w:p>
      <w:pPr>
        <w:pStyle w:val="BodyText"/>
        <w:spacing w:before="5"/>
        <w:rPr>
          <w:sz w:val="8"/>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4"/>
        <w:gridCol w:w="1874"/>
        <w:gridCol w:w="1873"/>
      </w:tblGrid>
      <w:tr>
        <w:trPr>
          <w:trHeight w:val="281" w:hRule="atLeast"/>
        </w:trPr>
        <w:tc>
          <w:tcPr>
            <w:tcW w:w="4904" w:type="dxa"/>
            <w:shd w:val="clear" w:color="auto" w:fill="D9D9D9"/>
          </w:tcPr>
          <w:p>
            <w:pPr>
              <w:pStyle w:val="TableParagraph"/>
              <w:spacing w:before="0"/>
              <w:jc w:val="left"/>
              <w:rPr>
                <w:rFonts w:ascii="Times New Roman"/>
                <w:sz w:val="16"/>
              </w:rPr>
            </w:pPr>
          </w:p>
        </w:tc>
        <w:tc>
          <w:tcPr>
            <w:tcW w:w="1874" w:type="dxa"/>
            <w:shd w:val="clear" w:color="auto" w:fill="D9D9D9"/>
          </w:tcPr>
          <w:p>
            <w:pPr>
              <w:pStyle w:val="TableParagraph"/>
              <w:spacing w:line="174" w:lineRule="exact" w:before="88"/>
              <w:ind w:left="471"/>
              <w:jc w:val="left"/>
              <w:rPr>
                <w:b/>
                <w:sz w:val="16"/>
              </w:rPr>
            </w:pPr>
            <w:r>
              <w:rPr>
                <w:b/>
                <w:sz w:val="16"/>
              </w:rPr>
              <w:t>Ejercicio 2024</w:t>
            </w:r>
          </w:p>
        </w:tc>
        <w:tc>
          <w:tcPr>
            <w:tcW w:w="1873" w:type="dxa"/>
            <w:shd w:val="clear" w:color="auto" w:fill="D9D9D9"/>
          </w:tcPr>
          <w:p>
            <w:pPr>
              <w:pStyle w:val="TableParagraph"/>
              <w:spacing w:line="174" w:lineRule="exact" w:before="88"/>
              <w:ind w:left="470"/>
              <w:jc w:val="left"/>
              <w:rPr>
                <w:b/>
                <w:sz w:val="16"/>
              </w:rPr>
            </w:pPr>
            <w:r>
              <w:rPr>
                <w:b/>
                <w:sz w:val="16"/>
              </w:rPr>
              <w:t>Ejercicio 2023</w:t>
            </w:r>
          </w:p>
        </w:tc>
      </w:tr>
      <w:tr>
        <w:trPr>
          <w:trHeight w:val="252" w:hRule="atLeast"/>
        </w:trPr>
        <w:tc>
          <w:tcPr>
            <w:tcW w:w="4904" w:type="dxa"/>
          </w:tcPr>
          <w:p>
            <w:pPr>
              <w:pStyle w:val="TableParagraph"/>
              <w:spacing w:before="30"/>
              <w:ind w:left="73"/>
              <w:jc w:val="left"/>
              <w:rPr>
                <w:b/>
                <w:sz w:val="16"/>
              </w:rPr>
            </w:pPr>
            <w:r>
              <w:rPr>
                <w:b/>
                <w:sz w:val="16"/>
              </w:rPr>
              <w:t>RESULTADO CONTABLE</w:t>
            </w:r>
          </w:p>
        </w:tc>
        <w:tc>
          <w:tcPr>
            <w:tcW w:w="1874" w:type="dxa"/>
          </w:tcPr>
          <w:p>
            <w:pPr>
              <w:pStyle w:val="TableParagraph"/>
              <w:spacing w:before="30"/>
              <w:ind w:right="56"/>
              <w:rPr>
                <w:b/>
                <w:sz w:val="16"/>
              </w:rPr>
            </w:pPr>
            <w:r>
              <w:rPr>
                <w:b/>
                <w:sz w:val="16"/>
              </w:rPr>
              <w:t>(29.637,35)</w:t>
            </w:r>
          </w:p>
        </w:tc>
        <w:tc>
          <w:tcPr>
            <w:tcW w:w="1873" w:type="dxa"/>
          </w:tcPr>
          <w:p>
            <w:pPr>
              <w:pStyle w:val="TableParagraph"/>
              <w:spacing w:before="30"/>
              <w:ind w:right="58"/>
              <w:rPr>
                <w:b/>
                <w:sz w:val="16"/>
              </w:rPr>
            </w:pPr>
            <w:r>
              <w:rPr>
                <w:b/>
                <w:sz w:val="16"/>
              </w:rPr>
              <w:t>9.321,35</w:t>
            </w:r>
          </w:p>
        </w:tc>
      </w:tr>
      <w:tr>
        <w:trPr>
          <w:trHeight w:val="259" w:hRule="atLeast"/>
        </w:trPr>
        <w:tc>
          <w:tcPr>
            <w:tcW w:w="4904" w:type="dxa"/>
          </w:tcPr>
          <w:p>
            <w:pPr>
              <w:pStyle w:val="TableParagraph"/>
              <w:spacing w:before="38"/>
              <w:ind w:left="73"/>
              <w:jc w:val="left"/>
              <w:rPr>
                <w:sz w:val="16"/>
              </w:rPr>
            </w:pPr>
            <w:r>
              <w:rPr>
                <w:sz w:val="16"/>
              </w:rPr>
              <w:t>Diferencias permanentes</w:t>
            </w:r>
          </w:p>
        </w:tc>
        <w:tc>
          <w:tcPr>
            <w:tcW w:w="1874" w:type="dxa"/>
          </w:tcPr>
          <w:p>
            <w:pPr>
              <w:pStyle w:val="TableParagraph"/>
              <w:spacing w:before="38"/>
              <w:ind w:right="63"/>
              <w:rPr>
                <w:sz w:val="16"/>
              </w:rPr>
            </w:pPr>
            <w:r>
              <w:rPr>
                <w:w w:val="101"/>
                <w:sz w:val="16"/>
              </w:rPr>
              <w:t>-</w:t>
            </w:r>
          </w:p>
        </w:tc>
        <w:tc>
          <w:tcPr>
            <w:tcW w:w="1873" w:type="dxa"/>
          </w:tcPr>
          <w:p>
            <w:pPr>
              <w:pStyle w:val="TableParagraph"/>
              <w:spacing w:before="38"/>
              <w:ind w:right="62"/>
              <w:rPr>
                <w:sz w:val="16"/>
              </w:rPr>
            </w:pPr>
            <w:r>
              <w:rPr>
                <w:w w:val="101"/>
                <w:sz w:val="16"/>
              </w:rPr>
              <w:t>-</w:t>
            </w:r>
          </w:p>
        </w:tc>
      </w:tr>
      <w:tr>
        <w:trPr>
          <w:trHeight w:val="252" w:hRule="atLeast"/>
        </w:trPr>
        <w:tc>
          <w:tcPr>
            <w:tcW w:w="4904" w:type="dxa"/>
          </w:tcPr>
          <w:p>
            <w:pPr>
              <w:pStyle w:val="TableParagraph"/>
              <w:spacing w:before="30"/>
              <w:ind w:left="73"/>
              <w:jc w:val="left"/>
              <w:rPr>
                <w:sz w:val="16"/>
              </w:rPr>
            </w:pPr>
            <w:r>
              <w:rPr>
                <w:sz w:val="16"/>
              </w:rPr>
              <w:t>Diferencias temporarias</w:t>
            </w:r>
          </w:p>
        </w:tc>
        <w:tc>
          <w:tcPr>
            <w:tcW w:w="1874" w:type="dxa"/>
          </w:tcPr>
          <w:p>
            <w:pPr>
              <w:pStyle w:val="TableParagraph"/>
              <w:spacing w:before="30"/>
              <w:ind w:right="63"/>
              <w:rPr>
                <w:sz w:val="16"/>
              </w:rPr>
            </w:pPr>
            <w:r>
              <w:rPr>
                <w:w w:val="101"/>
                <w:sz w:val="16"/>
              </w:rPr>
              <w:t>-</w:t>
            </w:r>
          </w:p>
        </w:tc>
        <w:tc>
          <w:tcPr>
            <w:tcW w:w="1873" w:type="dxa"/>
          </w:tcPr>
          <w:p>
            <w:pPr>
              <w:pStyle w:val="TableParagraph"/>
              <w:spacing w:before="30"/>
              <w:ind w:right="62"/>
              <w:rPr>
                <w:sz w:val="16"/>
              </w:rPr>
            </w:pPr>
            <w:r>
              <w:rPr>
                <w:w w:val="101"/>
                <w:sz w:val="16"/>
              </w:rPr>
              <w:t>-</w:t>
            </w:r>
          </w:p>
        </w:tc>
      </w:tr>
      <w:tr>
        <w:trPr>
          <w:trHeight w:val="260" w:hRule="atLeast"/>
        </w:trPr>
        <w:tc>
          <w:tcPr>
            <w:tcW w:w="4904" w:type="dxa"/>
          </w:tcPr>
          <w:p>
            <w:pPr>
              <w:pStyle w:val="TableParagraph"/>
              <w:spacing w:before="31"/>
              <w:ind w:left="73"/>
              <w:jc w:val="left"/>
              <w:rPr>
                <w:b/>
                <w:sz w:val="16"/>
              </w:rPr>
            </w:pPr>
            <w:r>
              <w:rPr>
                <w:b/>
                <w:sz w:val="16"/>
              </w:rPr>
              <w:t>RESULTADO CONTABLE AJUSTADO</w:t>
            </w:r>
          </w:p>
        </w:tc>
        <w:tc>
          <w:tcPr>
            <w:tcW w:w="1874" w:type="dxa"/>
          </w:tcPr>
          <w:p>
            <w:pPr>
              <w:pStyle w:val="TableParagraph"/>
              <w:spacing w:before="31"/>
              <w:ind w:right="56"/>
              <w:rPr>
                <w:b/>
                <w:sz w:val="16"/>
              </w:rPr>
            </w:pPr>
            <w:r>
              <w:rPr>
                <w:b/>
                <w:sz w:val="16"/>
              </w:rPr>
              <w:t>(29.637,35)</w:t>
            </w:r>
          </w:p>
        </w:tc>
        <w:tc>
          <w:tcPr>
            <w:tcW w:w="1873" w:type="dxa"/>
          </w:tcPr>
          <w:p>
            <w:pPr>
              <w:pStyle w:val="TableParagraph"/>
              <w:spacing w:before="31"/>
              <w:ind w:right="58"/>
              <w:rPr>
                <w:b/>
                <w:sz w:val="16"/>
              </w:rPr>
            </w:pPr>
            <w:r>
              <w:rPr>
                <w:b/>
                <w:sz w:val="16"/>
              </w:rPr>
              <w:t>9.321,35</w:t>
            </w:r>
          </w:p>
        </w:tc>
      </w:tr>
      <w:tr>
        <w:trPr>
          <w:trHeight w:val="252" w:hRule="atLeast"/>
        </w:trPr>
        <w:tc>
          <w:tcPr>
            <w:tcW w:w="4904" w:type="dxa"/>
          </w:tcPr>
          <w:p>
            <w:pPr>
              <w:pStyle w:val="TableParagraph"/>
              <w:spacing w:before="30"/>
              <w:ind w:left="73"/>
              <w:jc w:val="left"/>
              <w:rPr>
                <w:sz w:val="16"/>
              </w:rPr>
            </w:pPr>
            <w:r>
              <w:rPr>
                <w:sz w:val="16"/>
              </w:rPr>
              <w:t>Compensación bases imponibles negativas</w:t>
            </w:r>
          </w:p>
        </w:tc>
        <w:tc>
          <w:tcPr>
            <w:tcW w:w="1874" w:type="dxa"/>
          </w:tcPr>
          <w:p>
            <w:pPr>
              <w:pStyle w:val="TableParagraph"/>
              <w:spacing w:before="30"/>
              <w:ind w:right="63"/>
              <w:rPr>
                <w:sz w:val="16"/>
              </w:rPr>
            </w:pPr>
            <w:r>
              <w:rPr>
                <w:w w:val="101"/>
                <w:sz w:val="16"/>
              </w:rPr>
              <w:t>-</w:t>
            </w:r>
          </w:p>
        </w:tc>
        <w:tc>
          <w:tcPr>
            <w:tcW w:w="1873" w:type="dxa"/>
          </w:tcPr>
          <w:p>
            <w:pPr>
              <w:pStyle w:val="TableParagraph"/>
              <w:spacing w:before="30"/>
              <w:ind w:right="57"/>
              <w:rPr>
                <w:sz w:val="16"/>
              </w:rPr>
            </w:pPr>
            <w:r>
              <w:rPr>
                <w:sz w:val="16"/>
              </w:rPr>
              <w:t>(9.321,35)</w:t>
            </w:r>
          </w:p>
        </w:tc>
      </w:tr>
      <w:tr>
        <w:trPr>
          <w:trHeight w:val="252" w:hRule="atLeast"/>
        </w:trPr>
        <w:tc>
          <w:tcPr>
            <w:tcW w:w="4904" w:type="dxa"/>
          </w:tcPr>
          <w:p>
            <w:pPr>
              <w:pStyle w:val="TableParagraph"/>
              <w:spacing w:before="30"/>
              <w:ind w:left="73"/>
              <w:jc w:val="left"/>
              <w:rPr>
                <w:b/>
                <w:sz w:val="16"/>
              </w:rPr>
            </w:pPr>
            <w:r>
              <w:rPr>
                <w:b/>
                <w:sz w:val="16"/>
              </w:rPr>
              <w:t>Base imponible Impuesto sobre Sociedades</w:t>
            </w:r>
          </w:p>
        </w:tc>
        <w:tc>
          <w:tcPr>
            <w:tcW w:w="1874" w:type="dxa"/>
          </w:tcPr>
          <w:p>
            <w:pPr>
              <w:pStyle w:val="TableParagraph"/>
              <w:spacing w:before="30"/>
              <w:ind w:right="56"/>
              <w:rPr>
                <w:b/>
                <w:sz w:val="16"/>
              </w:rPr>
            </w:pPr>
            <w:r>
              <w:rPr>
                <w:b/>
                <w:sz w:val="16"/>
              </w:rPr>
              <w:t>(29.637,35)</w:t>
            </w:r>
          </w:p>
        </w:tc>
        <w:tc>
          <w:tcPr>
            <w:tcW w:w="1873" w:type="dxa"/>
          </w:tcPr>
          <w:p>
            <w:pPr>
              <w:pStyle w:val="TableParagraph"/>
              <w:spacing w:before="30"/>
              <w:ind w:right="62"/>
              <w:rPr>
                <w:b/>
                <w:sz w:val="16"/>
              </w:rPr>
            </w:pPr>
            <w:r>
              <w:rPr>
                <w:b/>
                <w:w w:val="101"/>
                <w:sz w:val="16"/>
              </w:rPr>
              <w:t>-</w:t>
            </w:r>
          </w:p>
        </w:tc>
      </w:tr>
      <w:tr>
        <w:trPr>
          <w:trHeight w:val="259" w:hRule="atLeast"/>
        </w:trPr>
        <w:tc>
          <w:tcPr>
            <w:tcW w:w="4904" w:type="dxa"/>
          </w:tcPr>
          <w:p>
            <w:pPr>
              <w:pStyle w:val="TableParagraph"/>
              <w:spacing w:before="30"/>
              <w:ind w:left="73"/>
              <w:jc w:val="left"/>
              <w:rPr>
                <w:sz w:val="16"/>
              </w:rPr>
            </w:pPr>
            <w:r>
              <w:rPr>
                <w:sz w:val="16"/>
              </w:rPr>
              <w:t>Tipo de gravamen 25%</w:t>
            </w:r>
          </w:p>
        </w:tc>
        <w:tc>
          <w:tcPr>
            <w:tcW w:w="1874" w:type="dxa"/>
          </w:tcPr>
          <w:p>
            <w:pPr>
              <w:pStyle w:val="TableParagraph"/>
              <w:spacing w:before="30"/>
              <w:ind w:right="51"/>
              <w:rPr>
                <w:sz w:val="16"/>
              </w:rPr>
            </w:pPr>
            <w:r>
              <w:rPr>
                <w:sz w:val="16"/>
              </w:rPr>
              <w:t>25%</w:t>
            </w:r>
          </w:p>
        </w:tc>
        <w:tc>
          <w:tcPr>
            <w:tcW w:w="1873" w:type="dxa"/>
          </w:tcPr>
          <w:p>
            <w:pPr>
              <w:pStyle w:val="TableParagraph"/>
              <w:spacing w:before="30"/>
              <w:ind w:right="50"/>
              <w:rPr>
                <w:sz w:val="16"/>
              </w:rPr>
            </w:pPr>
            <w:r>
              <w:rPr>
                <w:sz w:val="16"/>
              </w:rPr>
              <w:t>25%</w:t>
            </w:r>
          </w:p>
        </w:tc>
      </w:tr>
      <w:tr>
        <w:trPr>
          <w:trHeight w:val="252" w:hRule="atLeast"/>
        </w:trPr>
        <w:tc>
          <w:tcPr>
            <w:tcW w:w="4904" w:type="dxa"/>
          </w:tcPr>
          <w:p>
            <w:pPr>
              <w:pStyle w:val="TableParagraph"/>
              <w:spacing w:before="30"/>
              <w:ind w:left="73"/>
              <w:jc w:val="left"/>
              <w:rPr>
                <w:b/>
                <w:sz w:val="16"/>
              </w:rPr>
            </w:pPr>
            <w:r>
              <w:rPr>
                <w:b/>
                <w:sz w:val="16"/>
              </w:rPr>
              <w:t>Cuota impositiva</w:t>
            </w:r>
          </w:p>
        </w:tc>
        <w:tc>
          <w:tcPr>
            <w:tcW w:w="1874" w:type="dxa"/>
          </w:tcPr>
          <w:p>
            <w:pPr>
              <w:pStyle w:val="TableParagraph"/>
              <w:spacing w:before="30"/>
              <w:ind w:right="63"/>
              <w:rPr>
                <w:b/>
                <w:sz w:val="16"/>
              </w:rPr>
            </w:pPr>
            <w:r>
              <w:rPr>
                <w:b/>
                <w:color w:val="FF0000"/>
                <w:w w:val="101"/>
                <w:sz w:val="16"/>
              </w:rPr>
              <w:t>-</w:t>
            </w:r>
          </w:p>
        </w:tc>
        <w:tc>
          <w:tcPr>
            <w:tcW w:w="1873" w:type="dxa"/>
          </w:tcPr>
          <w:p>
            <w:pPr>
              <w:pStyle w:val="TableParagraph"/>
              <w:spacing w:before="30"/>
              <w:ind w:right="62"/>
              <w:rPr>
                <w:b/>
                <w:sz w:val="16"/>
              </w:rPr>
            </w:pPr>
            <w:r>
              <w:rPr>
                <w:b/>
                <w:w w:val="101"/>
                <w:sz w:val="16"/>
              </w:rPr>
              <w:t>-</w:t>
            </w:r>
          </w:p>
        </w:tc>
      </w:tr>
      <w:tr>
        <w:trPr>
          <w:trHeight w:val="252" w:hRule="atLeast"/>
        </w:trPr>
        <w:tc>
          <w:tcPr>
            <w:tcW w:w="4904" w:type="dxa"/>
          </w:tcPr>
          <w:p>
            <w:pPr>
              <w:pStyle w:val="TableParagraph"/>
              <w:spacing w:before="31"/>
              <w:ind w:left="73"/>
              <w:jc w:val="left"/>
              <w:rPr>
                <w:sz w:val="16"/>
              </w:rPr>
            </w:pPr>
            <w:r>
              <w:rPr>
                <w:sz w:val="16"/>
              </w:rPr>
              <w:t>Bonificaciones y deducciones</w:t>
            </w:r>
          </w:p>
        </w:tc>
        <w:tc>
          <w:tcPr>
            <w:tcW w:w="1874" w:type="dxa"/>
          </w:tcPr>
          <w:p>
            <w:pPr>
              <w:pStyle w:val="TableParagraph"/>
              <w:spacing w:before="31"/>
              <w:ind w:right="63"/>
              <w:rPr>
                <w:sz w:val="16"/>
              </w:rPr>
            </w:pPr>
            <w:r>
              <w:rPr>
                <w:color w:val="FF0000"/>
                <w:w w:val="101"/>
                <w:sz w:val="16"/>
              </w:rPr>
              <w:t>-</w:t>
            </w:r>
          </w:p>
        </w:tc>
        <w:tc>
          <w:tcPr>
            <w:tcW w:w="1873" w:type="dxa"/>
          </w:tcPr>
          <w:p>
            <w:pPr>
              <w:pStyle w:val="TableParagraph"/>
              <w:spacing w:before="31"/>
              <w:ind w:right="62"/>
              <w:rPr>
                <w:sz w:val="16"/>
              </w:rPr>
            </w:pPr>
            <w:r>
              <w:rPr>
                <w:w w:val="101"/>
                <w:sz w:val="16"/>
              </w:rPr>
              <w:t>-</w:t>
            </w:r>
          </w:p>
        </w:tc>
      </w:tr>
      <w:tr>
        <w:trPr>
          <w:trHeight w:val="259" w:hRule="atLeast"/>
        </w:trPr>
        <w:tc>
          <w:tcPr>
            <w:tcW w:w="4904" w:type="dxa"/>
          </w:tcPr>
          <w:p>
            <w:pPr>
              <w:pStyle w:val="TableParagraph"/>
              <w:spacing w:before="30"/>
              <w:ind w:left="73"/>
              <w:jc w:val="left"/>
              <w:rPr>
                <w:sz w:val="16"/>
              </w:rPr>
            </w:pPr>
            <w:r>
              <w:rPr>
                <w:sz w:val="16"/>
              </w:rPr>
              <w:t>Impuesto sobre Beneficios</w:t>
            </w:r>
          </w:p>
        </w:tc>
        <w:tc>
          <w:tcPr>
            <w:tcW w:w="1874" w:type="dxa"/>
          </w:tcPr>
          <w:p>
            <w:pPr>
              <w:pStyle w:val="TableParagraph"/>
              <w:spacing w:before="30"/>
              <w:ind w:right="63"/>
              <w:rPr>
                <w:sz w:val="16"/>
              </w:rPr>
            </w:pPr>
            <w:r>
              <w:rPr>
                <w:w w:val="101"/>
                <w:sz w:val="16"/>
              </w:rPr>
              <w:t>-</w:t>
            </w:r>
          </w:p>
        </w:tc>
        <w:tc>
          <w:tcPr>
            <w:tcW w:w="1873" w:type="dxa"/>
          </w:tcPr>
          <w:p>
            <w:pPr>
              <w:pStyle w:val="TableParagraph"/>
              <w:spacing w:before="30"/>
              <w:ind w:right="62"/>
              <w:rPr>
                <w:sz w:val="16"/>
              </w:rPr>
            </w:pPr>
            <w:r>
              <w:rPr>
                <w:w w:val="101"/>
                <w:sz w:val="16"/>
              </w:rPr>
              <w:t>-</w:t>
            </w:r>
          </w:p>
        </w:tc>
      </w:tr>
      <w:tr>
        <w:trPr>
          <w:trHeight w:val="252" w:hRule="atLeast"/>
        </w:trPr>
        <w:tc>
          <w:tcPr>
            <w:tcW w:w="4904" w:type="dxa"/>
          </w:tcPr>
          <w:p>
            <w:pPr>
              <w:pStyle w:val="TableParagraph"/>
              <w:spacing w:before="31"/>
              <w:ind w:left="73"/>
              <w:jc w:val="left"/>
              <w:rPr>
                <w:sz w:val="16"/>
              </w:rPr>
            </w:pPr>
            <w:r>
              <w:rPr>
                <w:sz w:val="16"/>
              </w:rPr>
              <w:t>Pagos Fraccionados</w:t>
            </w:r>
          </w:p>
        </w:tc>
        <w:tc>
          <w:tcPr>
            <w:tcW w:w="1874" w:type="dxa"/>
          </w:tcPr>
          <w:p>
            <w:pPr>
              <w:pStyle w:val="TableParagraph"/>
              <w:spacing w:before="31"/>
              <w:ind w:right="63"/>
              <w:rPr>
                <w:sz w:val="16"/>
              </w:rPr>
            </w:pPr>
            <w:r>
              <w:rPr>
                <w:w w:val="101"/>
                <w:sz w:val="16"/>
              </w:rPr>
              <w:t>-</w:t>
            </w:r>
          </w:p>
        </w:tc>
        <w:tc>
          <w:tcPr>
            <w:tcW w:w="1873" w:type="dxa"/>
          </w:tcPr>
          <w:p>
            <w:pPr>
              <w:pStyle w:val="TableParagraph"/>
              <w:spacing w:before="31"/>
              <w:ind w:right="62"/>
              <w:rPr>
                <w:sz w:val="16"/>
              </w:rPr>
            </w:pPr>
            <w:r>
              <w:rPr>
                <w:w w:val="101"/>
                <w:sz w:val="16"/>
              </w:rPr>
              <w:t>-</w:t>
            </w:r>
          </w:p>
        </w:tc>
      </w:tr>
      <w:tr>
        <w:trPr>
          <w:trHeight w:val="252" w:hRule="atLeast"/>
        </w:trPr>
        <w:tc>
          <w:tcPr>
            <w:tcW w:w="4904" w:type="dxa"/>
          </w:tcPr>
          <w:p>
            <w:pPr>
              <w:pStyle w:val="TableParagraph"/>
              <w:spacing w:before="30"/>
              <w:ind w:left="73"/>
              <w:jc w:val="left"/>
              <w:rPr>
                <w:sz w:val="16"/>
              </w:rPr>
            </w:pPr>
            <w:r>
              <w:rPr>
                <w:sz w:val="16"/>
              </w:rPr>
              <w:t>Retenciones</w:t>
            </w:r>
          </w:p>
        </w:tc>
        <w:tc>
          <w:tcPr>
            <w:tcW w:w="1874" w:type="dxa"/>
          </w:tcPr>
          <w:p>
            <w:pPr>
              <w:pStyle w:val="TableParagraph"/>
              <w:spacing w:before="30"/>
              <w:ind w:right="63"/>
              <w:rPr>
                <w:sz w:val="16"/>
              </w:rPr>
            </w:pPr>
            <w:r>
              <w:rPr>
                <w:w w:val="101"/>
                <w:sz w:val="16"/>
              </w:rPr>
              <w:t>-</w:t>
            </w:r>
          </w:p>
        </w:tc>
        <w:tc>
          <w:tcPr>
            <w:tcW w:w="1873" w:type="dxa"/>
          </w:tcPr>
          <w:p>
            <w:pPr>
              <w:pStyle w:val="TableParagraph"/>
              <w:spacing w:before="30"/>
              <w:ind w:right="62"/>
              <w:rPr>
                <w:sz w:val="16"/>
              </w:rPr>
            </w:pPr>
            <w:r>
              <w:rPr>
                <w:w w:val="101"/>
                <w:sz w:val="16"/>
              </w:rPr>
              <w:t>-</w:t>
            </w:r>
          </w:p>
        </w:tc>
      </w:tr>
      <w:tr>
        <w:trPr>
          <w:trHeight w:val="288" w:hRule="atLeast"/>
        </w:trPr>
        <w:tc>
          <w:tcPr>
            <w:tcW w:w="4904" w:type="dxa"/>
            <w:shd w:val="clear" w:color="auto" w:fill="F1F1F1"/>
          </w:tcPr>
          <w:p>
            <w:pPr>
              <w:pStyle w:val="TableParagraph"/>
              <w:spacing w:before="52"/>
              <w:ind w:left="73"/>
              <w:jc w:val="left"/>
              <w:rPr>
                <w:b/>
                <w:sz w:val="16"/>
              </w:rPr>
            </w:pPr>
            <w:r>
              <w:rPr>
                <w:b/>
                <w:sz w:val="16"/>
              </w:rPr>
              <w:t>A DEVOLVER</w:t>
            </w:r>
          </w:p>
        </w:tc>
        <w:tc>
          <w:tcPr>
            <w:tcW w:w="1874" w:type="dxa"/>
            <w:shd w:val="clear" w:color="auto" w:fill="F1F1F1"/>
          </w:tcPr>
          <w:p>
            <w:pPr>
              <w:pStyle w:val="TableParagraph"/>
              <w:spacing w:before="52"/>
              <w:ind w:right="63"/>
              <w:rPr>
                <w:b/>
                <w:sz w:val="16"/>
              </w:rPr>
            </w:pPr>
            <w:r>
              <w:rPr>
                <w:b/>
                <w:w w:val="101"/>
                <w:sz w:val="16"/>
              </w:rPr>
              <w:t>-</w:t>
            </w:r>
          </w:p>
        </w:tc>
        <w:tc>
          <w:tcPr>
            <w:tcW w:w="1873" w:type="dxa"/>
            <w:shd w:val="clear" w:color="auto" w:fill="F1F1F1"/>
          </w:tcPr>
          <w:p>
            <w:pPr>
              <w:pStyle w:val="TableParagraph"/>
              <w:spacing w:before="52"/>
              <w:ind w:right="62"/>
              <w:rPr>
                <w:b/>
                <w:sz w:val="16"/>
              </w:rPr>
            </w:pPr>
            <w:r>
              <w:rPr>
                <w:b/>
                <w:w w:val="101"/>
                <w:sz w:val="16"/>
              </w:rPr>
              <w:t>-</w:t>
            </w:r>
          </w:p>
        </w:tc>
      </w:tr>
    </w:tbl>
    <w:p>
      <w:pPr>
        <w:pStyle w:val="BodyText"/>
        <w:spacing w:before="2"/>
        <w:rPr>
          <w:sz w:val="8"/>
        </w:rPr>
      </w:pPr>
    </w:p>
    <w:p>
      <w:pPr>
        <w:pStyle w:val="BodyText"/>
        <w:spacing w:line="300" w:lineRule="auto" w:before="72"/>
        <w:ind w:left="403" w:right="434"/>
        <w:jc w:val="both"/>
      </w:pPr>
      <w:r>
        <w:rPr>
          <w:w w:val="105"/>
        </w:rPr>
        <w:t>No se ha registrado crédito por pérdidas a compensar alguno derivado </w:t>
      </w:r>
      <w:r>
        <w:rPr>
          <w:spacing w:val="2"/>
          <w:w w:val="105"/>
        </w:rPr>
        <w:t>de </w:t>
      </w:r>
      <w:r>
        <w:rPr>
          <w:w w:val="105"/>
        </w:rPr>
        <w:t>estas bases imponibles negativas. Igualmente, la sociedad ha optado por </w:t>
      </w:r>
      <w:r>
        <w:rPr>
          <w:spacing w:val="2"/>
          <w:w w:val="105"/>
        </w:rPr>
        <w:t>no </w:t>
      </w:r>
      <w:r>
        <w:rPr>
          <w:w w:val="105"/>
        </w:rPr>
        <w:t>contabilizar el crédito fiscal derivado </w:t>
      </w:r>
      <w:r>
        <w:rPr>
          <w:spacing w:val="2"/>
          <w:w w:val="105"/>
        </w:rPr>
        <w:t>de </w:t>
      </w:r>
      <w:r>
        <w:rPr>
          <w:w w:val="105"/>
        </w:rPr>
        <w:t>la deducción por inversiones en ejercicios futuros, por prudencia respecto de la evolución futura </w:t>
      </w:r>
      <w:r>
        <w:rPr>
          <w:spacing w:val="2"/>
          <w:w w:val="105"/>
        </w:rPr>
        <w:t>de </w:t>
      </w:r>
      <w:r>
        <w:rPr>
          <w:w w:val="105"/>
        </w:rPr>
        <w:t>los resultados y generación </w:t>
      </w:r>
      <w:r>
        <w:rPr>
          <w:spacing w:val="2"/>
          <w:w w:val="105"/>
        </w:rPr>
        <w:t>de </w:t>
      </w:r>
      <w:r>
        <w:rPr>
          <w:w w:val="105"/>
        </w:rPr>
        <w:t>cuotas a pagar</w:t>
      </w:r>
      <w:r>
        <w:rPr>
          <w:spacing w:val="40"/>
          <w:w w:val="105"/>
        </w:rPr>
        <w:t> </w:t>
      </w:r>
      <w:r>
        <w:rPr>
          <w:w w:val="105"/>
        </w:rPr>
        <w:t>del impuesto sobre sociedades con las que compensar dichos</w:t>
      </w:r>
      <w:r>
        <w:rPr>
          <w:spacing w:val="11"/>
          <w:w w:val="105"/>
        </w:rPr>
        <w:t> </w:t>
      </w:r>
      <w:r>
        <w:rPr>
          <w:w w:val="105"/>
        </w:rPr>
        <w:t>créditos.</w:t>
      </w:r>
    </w:p>
    <w:p>
      <w:pPr>
        <w:pStyle w:val="BodyText"/>
        <w:spacing w:line="302" w:lineRule="auto" w:before="119"/>
        <w:ind w:left="403" w:right="430"/>
        <w:jc w:val="both"/>
      </w:pPr>
      <w:r>
        <w:rPr>
          <w:w w:val="105"/>
        </w:rPr>
        <w:t>La Sociedad tiene pendiente de inspección los impuestos a que está sometida desde el último ejercicio no prescrito. En opinión de la Dirección de la Sociedad no existen contingencias de importes significativos que pudieran derivarse de los años abiertos a inspección, ni cualquier circunstancia de carácter significativo en relación con otros tributos.</w:t>
      </w:r>
    </w:p>
    <w:p>
      <w:pPr>
        <w:pStyle w:val="BodyText"/>
        <w:spacing w:before="1"/>
        <w:rPr>
          <w:sz w:val="15"/>
        </w:rPr>
      </w:pPr>
    </w:p>
    <w:p>
      <w:pPr>
        <w:pStyle w:val="Heading1"/>
        <w:numPr>
          <w:ilvl w:val="0"/>
          <w:numId w:val="1"/>
        </w:numPr>
        <w:tabs>
          <w:tab w:pos="645" w:val="left" w:leader="none"/>
        </w:tabs>
        <w:spacing w:line="240" w:lineRule="auto" w:before="1" w:after="0"/>
        <w:ind w:left="644" w:right="0" w:hanging="242"/>
        <w:jc w:val="left"/>
      </w:pPr>
      <w:r>
        <w:rPr/>
        <w:t>Operaciones con partes</w:t>
      </w:r>
      <w:r>
        <w:rPr>
          <w:spacing w:val="9"/>
        </w:rPr>
        <w:t> </w:t>
      </w:r>
      <w:r>
        <w:rPr/>
        <w:t>vinculadas</w:t>
      </w:r>
    </w:p>
    <w:p>
      <w:pPr>
        <w:pStyle w:val="BodyText"/>
        <w:spacing w:line="302" w:lineRule="auto" w:before="156"/>
        <w:ind w:left="403" w:right="436"/>
        <w:jc w:val="both"/>
      </w:pPr>
      <w:r>
        <w:rPr>
          <w:w w:val="105"/>
        </w:rPr>
        <w:t>A efectos de la presentación de las Cuentas Anuales abreviadas de una empresa o sociedad se entenderá que otra empresa forma parte del grupo cuando ambas estén vinculadas por una relación de control, directa o indirecta, análoga a la prevista en el artículo 42 del Código de Comercio para los grupos de sociedades o cuando las empresas estén controladas por cualquier medio por una o varias personas físicas o jurídicas, que actúen conjuntamente o se hallen bajo dirección única por acuerdos o cláusulas estatutarias.</w:t>
      </w:r>
    </w:p>
    <w:p>
      <w:pPr>
        <w:pStyle w:val="BodyText"/>
        <w:spacing w:line="304" w:lineRule="auto" w:before="119"/>
        <w:ind w:left="403" w:right="483"/>
      </w:pPr>
      <w:r>
        <w:rPr>
          <w:w w:val="105"/>
        </w:rPr>
        <w:t>La Sociedad ha realizado operaciones con partes vinculadas con el EXCMO. AYUNTAMIENTO DE LOS REALEJOS (Entidad Dominante):</w:t>
      </w:r>
    </w:p>
    <w:p>
      <w:pPr>
        <w:pStyle w:val="BodyText"/>
        <w:rPr>
          <w:sz w:val="5"/>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1"/>
        <w:gridCol w:w="1903"/>
        <w:gridCol w:w="1909"/>
      </w:tblGrid>
      <w:tr>
        <w:trPr>
          <w:trHeight w:val="280" w:hRule="atLeast"/>
        </w:trPr>
        <w:tc>
          <w:tcPr>
            <w:tcW w:w="4841" w:type="dxa"/>
            <w:tcBorders>
              <w:top w:val="nil"/>
              <w:left w:val="nil"/>
            </w:tcBorders>
          </w:tcPr>
          <w:p>
            <w:pPr>
              <w:pStyle w:val="TableParagraph"/>
              <w:spacing w:before="0"/>
              <w:jc w:val="left"/>
              <w:rPr>
                <w:rFonts w:ascii="Times New Roman"/>
                <w:sz w:val="16"/>
              </w:rPr>
            </w:pPr>
          </w:p>
        </w:tc>
        <w:tc>
          <w:tcPr>
            <w:tcW w:w="1903" w:type="dxa"/>
            <w:shd w:val="clear" w:color="auto" w:fill="D9D9D9"/>
          </w:tcPr>
          <w:p>
            <w:pPr>
              <w:pStyle w:val="TableParagraph"/>
              <w:spacing w:line="173" w:lineRule="exact" w:before="87"/>
              <w:ind w:left="491"/>
              <w:jc w:val="left"/>
              <w:rPr>
                <w:b/>
                <w:sz w:val="16"/>
              </w:rPr>
            </w:pPr>
            <w:r>
              <w:rPr>
                <w:b/>
                <w:sz w:val="16"/>
              </w:rPr>
              <w:t>Ejercicio 2024</w:t>
            </w:r>
          </w:p>
        </w:tc>
        <w:tc>
          <w:tcPr>
            <w:tcW w:w="1909" w:type="dxa"/>
            <w:shd w:val="clear" w:color="auto" w:fill="D9D9D9"/>
          </w:tcPr>
          <w:p>
            <w:pPr>
              <w:pStyle w:val="TableParagraph"/>
              <w:spacing w:line="173" w:lineRule="exact" w:before="87"/>
              <w:ind w:left="497"/>
              <w:jc w:val="left"/>
              <w:rPr>
                <w:b/>
                <w:sz w:val="16"/>
              </w:rPr>
            </w:pPr>
            <w:r>
              <w:rPr>
                <w:b/>
                <w:sz w:val="16"/>
              </w:rPr>
              <w:t>Ejercicio 2023</w:t>
            </w:r>
          </w:p>
        </w:tc>
      </w:tr>
      <w:tr>
        <w:trPr>
          <w:trHeight w:val="287" w:hRule="atLeast"/>
        </w:trPr>
        <w:tc>
          <w:tcPr>
            <w:tcW w:w="4841" w:type="dxa"/>
          </w:tcPr>
          <w:p>
            <w:pPr>
              <w:pStyle w:val="TableParagraph"/>
              <w:spacing w:before="52"/>
              <w:ind w:left="73"/>
              <w:jc w:val="left"/>
              <w:rPr>
                <w:sz w:val="16"/>
              </w:rPr>
            </w:pPr>
            <w:r>
              <w:rPr>
                <w:sz w:val="16"/>
              </w:rPr>
              <w:t>Subvenciones de explotación (Nota 10.e)</w:t>
            </w:r>
          </w:p>
        </w:tc>
        <w:tc>
          <w:tcPr>
            <w:tcW w:w="1903" w:type="dxa"/>
          </w:tcPr>
          <w:p>
            <w:pPr>
              <w:pStyle w:val="TableParagraph"/>
              <w:spacing w:before="52"/>
              <w:ind w:right="54"/>
              <w:rPr>
                <w:sz w:val="16"/>
              </w:rPr>
            </w:pPr>
            <w:r>
              <w:rPr>
                <w:sz w:val="16"/>
              </w:rPr>
              <w:t>250.941,28</w:t>
            </w:r>
          </w:p>
        </w:tc>
        <w:tc>
          <w:tcPr>
            <w:tcW w:w="1909" w:type="dxa"/>
          </w:tcPr>
          <w:p>
            <w:pPr>
              <w:pStyle w:val="TableParagraph"/>
              <w:spacing w:before="52"/>
              <w:ind w:right="54"/>
              <w:rPr>
                <w:sz w:val="16"/>
              </w:rPr>
            </w:pPr>
            <w:r>
              <w:rPr>
                <w:sz w:val="16"/>
              </w:rPr>
              <w:t>274.429,08</w:t>
            </w:r>
          </w:p>
        </w:tc>
      </w:tr>
      <w:tr>
        <w:trPr>
          <w:trHeight w:val="281" w:hRule="atLeast"/>
        </w:trPr>
        <w:tc>
          <w:tcPr>
            <w:tcW w:w="4841" w:type="dxa"/>
          </w:tcPr>
          <w:p>
            <w:pPr>
              <w:pStyle w:val="TableParagraph"/>
              <w:ind w:left="73"/>
              <w:jc w:val="left"/>
              <w:rPr>
                <w:sz w:val="16"/>
              </w:rPr>
            </w:pPr>
            <w:r>
              <w:rPr>
                <w:sz w:val="16"/>
              </w:rPr>
              <w:t>Subvenciones de capital concedidas (Nota 10.e)</w:t>
            </w:r>
          </w:p>
        </w:tc>
        <w:tc>
          <w:tcPr>
            <w:tcW w:w="1903" w:type="dxa"/>
          </w:tcPr>
          <w:p>
            <w:pPr>
              <w:pStyle w:val="TableParagraph"/>
              <w:ind w:right="54"/>
              <w:rPr>
                <w:sz w:val="16"/>
              </w:rPr>
            </w:pPr>
            <w:r>
              <w:rPr>
                <w:sz w:val="16"/>
              </w:rPr>
              <w:t>35.310,00</w:t>
            </w:r>
          </w:p>
        </w:tc>
        <w:tc>
          <w:tcPr>
            <w:tcW w:w="1909" w:type="dxa"/>
          </w:tcPr>
          <w:p>
            <w:pPr>
              <w:pStyle w:val="TableParagraph"/>
              <w:ind w:right="54"/>
              <w:rPr>
                <w:sz w:val="16"/>
              </w:rPr>
            </w:pPr>
            <w:r>
              <w:rPr>
                <w:sz w:val="16"/>
              </w:rPr>
              <w:t>7.000,00</w:t>
            </w:r>
          </w:p>
        </w:tc>
      </w:tr>
    </w:tbl>
    <w:p>
      <w:pPr>
        <w:pStyle w:val="BodyText"/>
        <w:spacing w:before="6"/>
        <w:rPr>
          <w:sz w:val="13"/>
        </w:rPr>
      </w:pPr>
    </w:p>
    <w:p>
      <w:pPr>
        <w:pStyle w:val="BodyText"/>
        <w:ind w:left="403"/>
      </w:pPr>
      <w:r>
        <w:rPr>
          <w:w w:val="105"/>
        </w:rPr>
        <w:t>El saldo pendiente con el EXCMO. AYUNTAMIENTO DE LOS REALEJOS (Entidad Dominante):</w:t>
      </w:r>
    </w:p>
    <w:p>
      <w:pPr>
        <w:pStyle w:val="BodyText"/>
        <w:spacing w:before="9" w:after="1"/>
        <w:rPr>
          <w:sz w:val="1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6"/>
        <w:gridCol w:w="1952"/>
        <w:gridCol w:w="1945"/>
      </w:tblGrid>
      <w:tr>
        <w:trPr>
          <w:trHeight w:val="280" w:hRule="atLeast"/>
        </w:trPr>
        <w:tc>
          <w:tcPr>
            <w:tcW w:w="4756" w:type="dxa"/>
            <w:tcBorders>
              <w:top w:val="nil"/>
              <w:left w:val="nil"/>
            </w:tcBorders>
          </w:tcPr>
          <w:p>
            <w:pPr>
              <w:pStyle w:val="TableParagraph"/>
              <w:spacing w:before="0"/>
              <w:jc w:val="left"/>
              <w:rPr>
                <w:rFonts w:ascii="Times New Roman"/>
                <w:sz w:val="16"/>
              </w:rPr>
            </w:pPr>
          </w:p>
        </w:tc>
        <w:tc>
          <w:tcPr>
            <w:tcW w:w="1952" w:type="dxa"/>
            <w:shd w:val="clear" w:color="auto" w:fill="D9D9D9"/>
          </w:tcPr>
          <w:p>
            <w:pPr>
              <w:pStyle w:val="TableParagraph"/>
              <w:spacing w:line="173" w:lineRule="exact" w:before="87"/>
              <w:ind w:left="576"/>
              <w:jc w:val="left"/>
              <w:rPr>
                <w:b/>
                <w:sz w:val="16"/>
              </w:rPr>
            </w:pPr>
            <w:r>
              <w:rPr>
                <w:b/>
                <w:sz w:val="16"/>
              </w:rPr>
              <w:t>31/12/2024</w:t>
            </w:r>
          </w:p>
        </w:tc>
        <w:tc>
          <w:tcPr>
            <w:tcW w:w="1945" w:type="dxa"/>
            <w:shd w:val="clear" w:color="auto" w:fill="D9D9D9"/>
          </w:tcPr>
          <w:p>
            <w:pPr>
              <w:pStyle w:val="TableParagraph"/>
              <w:spacing w:line="173" w:lineRule="exact" w:before="87"/>
              <w:ind w:left="569"/>
              <w:jc w:val="left"/>
              <w:rPr>
                <w:b/>
                <w:sz w:val="16"/>
              </w:rPr>
            </w:pPr>
            <w:r>
              <w:rPr>
                <w:b/>
                <w:sz w:val="16"/>
              </w:rPr>
              <w:t>31/12/2023</w:t>
            </w:r>
          </w:p>
        </w:tc>
      </w:tr>
      <w:tr>
        <w:trPr>
          <w:trHeight w:val="288" w:hRule="atLeast"/>
        </w:trPr>
        <w:tc>
          <w:tcPr>
            <w:tcW w:w="4756" w:type="dxa"/>
          </w:tcPr>
          <w:p>
            <w:pPr>
              <w:pStyle w:val="TableParagraph"/>
              <w:ind w:left="73"/>
              <w:jc w:val="left"/>
              <w:rPr>
                <w:b/>
                <w:sz w:val="16"/>
              </w:rPr>
            </w:pPr>
            <w:r>
              <w:rPr>
                <w:b/>
                <w:sz w:val="16"/>
              </w:rPr>
              <w:t>Activos corrientes</w:t>
            </w:r>
          </w:p>
        </w:tc>
        <w:tc>
          <w:tcPr>
            <w:tcW w:w="1952" w:type="dxa"/>
          </w:tcPr>
          <w:p>
            <w:pPr>
              <w:pStyle w:val="TableParagraph"/>
              <w:spacing w:before="0"/>
              <w:jc w:val="left"/>
              <w:rPr>
                <w:rFonts w:ascii="Times New Roman"/>
                <w:sz w:val="16"/>
              </w:rPr>
            </w:pPr>
          </w:p>
        </w:tc>
        <w:tc>
          <w:tcPr>
            <w:tcW w:w="1945" w:type="dxa"/>
          </w:tcPr>
          <w:p>
            <w:pPr>
              <w:pStyle w:val="TableParagraph"/>
              <w:spacing w:before="0"/>
              <w:jc w:val="left"/>
              <w:rPr>
                <w:rFonts w:ascii="Times New Roman"/>
                <w:sz w:val="16"/>
              </w:rPr>
            </w:pPr>
          </w:p>
        </w:tc>
      </w:tr>
      <w:tr>
        <w:trPr>
          <w:trHeight w:val="281" w:hRule="atLeast"/>
        </w:trPr>
        <w:tc>
          <w:tcPr>
            <w:tcW w:w="4756" w:type="dxa"/>
          </w:tcPr>
          <w:p>
            <w:pPr>
              <w:pStyle w:val="TableParagraph"/>
              <w:ind w:left="73"/>
              <w:jc w:val="left"/>
              <w:rPr>
                <w:sz w:val="16"/>
              </w:rPr>
            </w:pPr>
            <w:r>
              <w:rPr>
                <w:sz w:val="16"/>
              </w:rPr>
              <w:t>Cuentas corrientes con socios y administradores</w:t>
            </w:r>
          </w:p>
        </w:tc>
        <w:tc>
          <w:tcPr>
            <w:tcW w:w="1952" w:type="dxa"/>
          </w:tcPr>
          <w:p>
            <w:pPr>
              <w:pStyle w:val="TableParagraph"/>
              <w:ind w:right="64"/>
              <w:rPr>
                <w:sz w:val="16"/>
              </w:rPr>
            </w:pPr>
            <w:r>
              <w:rPr>
                <w:w w:val="101"/>
                <w:sz w:val="16"/>
              </w:rPr>
              <w:t>-</w:t>
            </w:r>
          </w:p>
        </w:tc>
        <w:tc>
          <w:tcPr>
            <w:tcW w:w="1945" w:type="dxa"/>
          </w:tcPr>
          <w:p>
            <w:pPr>
              <w:pStyle w:val="TableParagraph"/>
              <w:ind w:right="64"/>
              <w:rPr>
                <w:sz w:val="16"/>
              </w:rPr>
            </w:pPr>
            <w:r>
              <w:rPr>
                <w:w w:val="101"/>
                <w:sz w:val="16"/>
              </w:rPr>
              <w:t>-</w:t>
            </w:r>
          </w:p>
        </w:tc>
      </w:tr>
    </w:tbl>
    <w:p>
      <w:pPr>
        <w:pStyle w:val="BodyText"/>
        <w:rPr>
          <w:sz w:val="14"/>
        </w:rPr>
      </w:pPr>
    </w:p>
    <w:p>
      <w:pPr>
        <w:pStyle w:val="BodyText"/>
        <w:spacing w:line="302" w:lineRule="auto"/>
        <w:ind w:left="403" w:right="483"/>
      </w:pPr>
      <w:r>
        <w:rPr>
          <w:w w:val="105"/>
        </w:rPr>
        <w:t>No se han concedido en el ejercicio 2024 y 2023 anticipos y créditos al personal </w:t>
      </w:r>
      <w:r>
        <w:rPr>
          <w:spacing w:val="2"/>
          <w:w w:val="105"/>
        </w:rPr>
        <w:t>de </w:t>
      </w:r>
      <w:r>
        <w:rPr>
          <w:w w:val="105"/>
        </w:rPr>
        <w:t>alta dirección y a los miembros de los órganos de</w:t>
      </w:r>
      <w:r>
        <w:rPr>
          <w:spacing w:val="2"/>
          <w:w w:val="105"/>
        </w:rPr>
        <w:t> </w:t>
      </w:r>
      <w:r>
        <w:rPr>
          <w:w w:val="105"/>
        </w:rPr>
        <w:t>administración.</w:t>
      </w:r>
    </w:p>
    <w:p>
      <w:pPr>
        <w:pStyle w:val="BodyText"/>
        <w:spacing w:line="302" w:lineRule="auto" w:before="116"/>
        <w:ind w:left="403" w:right="483"/>
      </w:pPr>
      <w:r>
        <w:rPr>
          <w:w w:val="105"/>
        </w:rPr>
        <w:t>Los administradores no han informado </w:t>
      </w:r>
      <w:r>
        <w:rPr>
          <w:spacing w:val="2"/>
          <w:w w:val="105"/>
        </w:rPr>
        <w:t>de </w:t>
      </w:r>
      <w:r>
        <w:rPr>
          <w:w w:val="105"/>
        </w:rPr>
        <w:t>ninguna situación de conflicto, directo o indirecto, </w:t>
      </w:r>
      <w:r>
        <w:rPr>
          <w:spacing w:val="3"/>
          <w:w w:val="105"/>
        </w:rPr>
        <w:t>que </w:t>
      </w:r>
      <w:r>
        <w:rPr>
          <w:w w:val="105"/>
        </w:rPr>
        <w:t>pudieran tener</w:t>
      </w:r>
      <w:r>
        <w:rPr>
          <w:spacing w:val="40"/>
          <w:w w:val="105"/>
        </w:rPr>
        <w:t> </w:t>
      </w:r>
      <w:r>
        <w:rPr>
          <w:w w:val="105"/>
        </w:rPr>
        <w:t>con la Sociedad, tal y como establece el artículo 229.3 de la Ley de Sociedades de</w:t>
      </w:r>
      <w:r>
        <w:rPr>
          <w:spacing w:val="40"/>
          <w:w w:val="105"/>
        </w:rPr>
        <w:t> </w:t>
      </w:r>
      <w:r>
        <w:rPr>
          <w:w w:val="105"/>
        </w:rPr>
        <w:t>Capital.</w:t>
      </w:r>
    </w:p>
    <w:p>
      <w:pPr>
        <w:spacing w:after="0" w:line="302" w:lineRule="auto"/>
        <w:sectPr>
          <w:pgSz w:w="11920" w:h="16850"/>
          <w:pgMar w:header="735" w:footer="891" w:top="1600" w:bottom="1080" w:left="1300" w:right="1300"/>
        </w:sectPr>
      </w:pPr>
    </w:p>
    <w:p>
      <w:pPr>
        <w:pStyle w:val="BodyText"/>
        <w:spacing w:before="11"/>
        <w:rPr>
          <w:sz w:val="13"/>
        </w:rPr>
      </w:pPr>
    </w:p>
    <w:p>
      <w:pPr>
        <w:pStyle w:val="Heading1"/>
        <w:numPr>
          <w:ilvl w:val="0"/>
          <w:numId w:val="1"/>
        </w:numPr>
        <w:tabs>
          <w:tab w:pos="971" w:val="left" w:leader="none"/>
          <w:tab w:pos="972" w:val="left" w:leader="none"/>
        </w:tabs>
        <w:spacing w:line="240" w:lineRule="auto" w:before="52" w:after="0"/>
        <w:ind w:left="971" w:right="0" w:hanging="569"/>
        <w:jc w:val="left"/>
      </w:pPr>
      <w:r>
        <w:rPr/>
        <w:t>Otra</w:t>
      </w:r>
      <w:r>
        <w:rPr>
          <w:spacing w:val="1"/>
        </w:rPr>
        <w:t> </w:t>
      </w:r>
      <w:r>
        <w:rPr/>
        <w:t>información</w:t>
      </w:r>
    </w:p>
    <w:p>
      <w:pPr>
        <w:pStyle w:val="ListParagraph"/>
        <w:numPr>
          <w:ilvl w:val="0"/>
          <w:numId w:val="9"/>
        </w:numPr>
        <w:tabs>
          <w:tab w:pos="610" w:val="left" w:leader="none"/>
        </w:tabs>
        <w:spacing w:line="240" w:lineRule="auto" w:before="157" w:after="0"/>
        <w:ind w:left="609" w:right="0" w:hanging="207"/>
        <w:jc w:val="left"/>
        <w:rPr>
          <w:sz w:val="17"/>
        </w:rPr>
      </w:pPr>
      <w:r>
        <w:rPr>
          <w:w w:val="105"/>
          <w:sz w:val="17"/>
        </w:rPr>
        <w:t>El número medio </w:t>
      </w:r>
      <w:r>
        <w:rPr>
          <w:spacing w:val="2"/>
          <w:w w:val="105"/>
          <w:sz w:val="17"/>
        </w:rPr>
        <w:t>de </w:t>
      </w:r>
      <w:r>
        <w:rPr>
          <w:w w:val="105"/>
          <w:sz w:val="17"/>
        </w:rPr>
        <w:t>personas empleadas en el curso del ejercicio es el</w:t>
      </w:r>
      <w:r>
        <w:rPr>
          <w:spacing w:val="16"/>
          <w:w w:val="105"/>
          <w:sz w:val="17"/>
        </w:rPr>
        <w:t> </w:t>
      </w:r>
      <w:r>
        <w:rPr>
          <w:w w:val="105"/>
          <w:sz w:val="17"/>
        </w:rPr>
        <w:t>siguiente:</w:t>
      </w:r>
    </w:p>
    <w:p>
      <w:pPr>
        <w:pStyle w:val="BodyText"/>
        <w:spacing w:before="2" w:after="1"/>
        <w:rPr>
          <w:sz w:val="1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51"/>
        <w:gridCol w:w="2101"/>
        <w:gridCol w:w="2101"/>
      </w:tblGrid>
      <w:tr>
        <w:trPr>
          <w:trHeight w:val="281" w:hRule="atLeast"/>
        </w:trPr>
        <w:tc>
          <w:tcPr>
            <w:tcW w:w="4451" w:type="dxa"/>
            <w:vMerge w:val="restart"/>
            <w:tcBorders>
              <w:top w:val="nil"/>
              <w:left w:val="nil"/>
            </w:tcBorders>
          </w:tcPr>
          <w:p>
            <w:pPr>
              <w:pStyle w:val="TableParagraph"/>
              <w:spacing w:before="0"/>
              <w:jc w:val="left"/>
              <w:rPr>
                <w:rFonts w:ascii="Times New Roman"/>
                <w:sz w:val="16"/>
              </w:rPr>
            </w:pPr>
          </w:p>
        </w:tc>
        <w:tc>
          <w:tcPr>
            <w:tcW w:w="4202" w:type="dxa"/>
            <w:gridSpan w:val="2"/>
            <w:shd w:val="clear" w:color="auto" w:fill="D9D9D9"/>
          </w:tcPr>
          <w:p>
            <w:pPr>
              <w:pStyle w:val="TableParagraph"/>
              <w:spacing w:line="174" w:lineRule="exact" w:before="87"/>
              <w:ind w:left="1906" w:right="1907"/>
              <w:jc w:val="center"/>
              <w:rPr>
                <w:b/>
                <w:sz w:val="16"/>
              </w:rPr>
            </w:pPr>
            <w:r>
              <w:rPr>
                <w:b/>
                <w:sz w:val="16"/>
              </w:rPr>
              <w:t>Total</w:t>
            </w:r>
          </w:p>
        </w:tc>
      </w:tr>
      <w:tr>
        <w:trPr>
          <w:trHeight w:val="280" w:hRule="atLeast"/>
        </w:trPr>
        <w:tc>
          <w:tcPr>
            <w:tcW w:w="4451" w:type="dxa"/>
            <w:vMerge/>
            <w:tcBorders>
              <w:top w:val="nil"/>
              <w:left w:val="nil"/>
            </w:tcBorders>
          </w:tcPr>
          <w:p>
            <w:pPr>
              <w:rPr>
                <w:sz w:val="2"/>
                <w:szCs w:val="2"/>
              </w:rPr>
            </w:pPr>
          </w:p>
        </w:tc>
        <w:tc>
          <w:tcPr>
            <w:tcW w:w="2101" w:type="dxa"/>
            <w:shd w:val="clear" w:color="auto" w:fill="D9D9D9"/>
          </w:tcPr>
          <w:p>
            <w:pPr>
              <w:pStyle w:val="TableParagraph"/>
              <w:spacing w:line="174" w:lineRule="exact" w:before="87"/>
              <w:ind w:left="566" w:right="568"/>
              <w:jc w:val="center"/>
              <w:rPr>
                <w:b/>
                <w:sz w:val="16"/>
              </w:rPr>
            </w:pPr>
            <w:r>
              <w:rPr>
                <w:b/>
                <w:sz w:val="16"/>
              </w:rPr>
              <w:t>Ejercicio 2024</w:t>
            </w:r>
          </w:p>
        </w:tc>
        <w:tc>
          <w:tcPr>
            <w:tcW w:w="2101" w:type="dxa"/>
            <w:shd w:val="clear" w:color="auto" w:fill="D9D9D9"/>
          </w:tcPr>
          <w:p>
            <w:pPr>
              <w:pStyle w:val="TableParagraph"/>
              <w:spacing w:line="174" w:lineRule="exact" w:before="87"/>
              <w:ind w:left="566" w:right="568"/>
              <w:jc w:val="center"/>
              <w:rPr>
                <w:b/>
                <w:sz w:val="16"/>
              </w:rPr>
            </w:pPr>
            <w:r>
              <w:rPr>
                <w:b/>
                <w:sz w:val="16"/>
              </w:rPr>
              <w:t>Ejercicio 2023</w:t>
            </w:r>
          </w:p>
        </w:tc>
      </w:tr>
      <w:tr>
        <w:trPr>
          <w:trHeight w:val="287" w:hRule="atLeast"/>
        </w:trPr>
        <w:tc>
          <w:tcPr>
            <w:tcW w:w="4451" w:type="dxa"/>
          </w:tcPr>
          <w:p>
            <w:pPr>
              <w:pStyle w:val="TableParagraph"/>
              <w:ind w:left="73"/>
              <w:jc w:val="left"/>
              <w:rPr>
                <w:sz w:val="16"/>
              </w:rPr>
            </w:pPr>
            <w:r>
              <w:rPr>
                <w:sz w:val="16"/>
              </w:rPr>
              <w:t>Total personal medio del ejercicio</w:t>
            </w:r>
          </w:p>
        </w:tc>
        <w:tc>
          <w:tcPr>
            <w:tcW w:w="2101" w:type="dxa"/>
          </w:tcPr>
          <w:p>
            <w:pPr>
              <w:pStyle w:val="TableParagraph"/>
              <w:ind w:left="566" w:right="563"/>
              <w:jc w:val="center"/>
              <w:rPr>
                <w:sz w:val="16"/>
              </w:rPr>
            </w:pPr>
            <w:r>
              <w:rPr>
                <w:sz w:val="16"/>
              </w:rPr>
              <w:t>7,00</w:t>
            </w:r>
          </w:p>
        </w:tc>
        <w:tc>
          <w:tcPr>
            <w:tcW w:w="2101" w:type="dxa"/>
          </w:tcPr>
          <w:p>
            <w:pPr>
              <w:pStyle w:val="TableParagraph"/>
              <w:ind w:left="566" w:right="564"/>
              <w:jc w:val="center"/>
              <w:rPr>
                <w:sz w:val="16"/>
              </w:rPr>
            </w:pPr>
            <w:r>
              <w:rPr>
                <w:sz w:val="16"/>
              </w:rPr>
              <w:t>7,00</w:t>
            </w:r>
          </w:p>
        </w:tc>
      </w:tr>
    </w:tbl>
    <w:p>
      <w:pPr>
        <w:pStyle w:val="BodyText"/>
        <w:spacing w:line="376" w:lineRule="auto" w:before="129"/>
        <w:ind w:left="403" w:right="483"/>
      </w:pPr>
      <w:r>
        <w:rPr>
          <w:w w:val="105"/>
        </w:rPr>
        <w:t>Incluida en el cuadro anterior, el desglose </w:t>
      </w:r>
      <w:r>
        <w:rPr>
          <w:spacing w:val="2"/>
          <w:w w:val="105"/>
        </w:rPr>
        <w:t>de </w:t>
      </w:r>
      <w:r>
        <w:rPr>
          <w:w w:val="105"/>
        </w:rPr>
        <w:t>las personas empleadas en el curso del ejercicio con discapacidad mayor o igual del 33%, es el</w:t>
      </w:r>
      <w:r>
        <w:rPr>
          <w:spacing w:val="14"/>
          <w:w w:val="105"/>
        </w:rPr>
        <w:t> </w:t>
      </w:r>
      <w:r>
        <w:rPr>
          <w:w w:val="105"/>
        </w:rPr>
        <w:t>siguiente:</w:t>
      </w:r>
    </w:p>
    <w:p>
      <w:pPr>
        <w:pStyle w:val="BodyText"/>
        <w:spacing w:before="11"/>
        <w:rPr>
          <w:sz w:val="9"/>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51"/>
        <w:gridCol w:w="2101"/>
        <w:gridCol w:w="2101"/>
      </w:tblGrid>
      <w:tr>
        <w:trPr>
          <w:trHeight w:val="280" w:hRule="atLeast"/>
        </w:trPr>
        <w:tc>
          <w:tcPr>
            <w:tcW w:w="4451" w:type="dxa"/>
            <w:vMerge w:val="restart"/>
            <w:tcBorders>
              <w:top w:val="nil"/>
              <w:left w:val="nil"/>
            </w:tcBorders>
          </w:tcPr>
          <w:p>
            <w:pPr>
              <w:pStyle w:val="TableParagraph"/>
              <w:spacing w:before="0"/>
              <w:jc w:val="left"/>
              <w:rPr>
                <w:rFonts w:ascii="Times New Roman"/>
                <w:sz w:val="16"/>
              </w:rPr>
            </w:pPr>
          </w:p>
        </w:tc>
        <w:tc>
          <w:tcPr>
            <w:tcW w:w="4202" w:type="dxa"/>
            <w:gridSpan w:val="2"/>
            <w:shd w:val="clear" w:color="auto" w:fill="D9D9D9"/>
          </w:tcPr>
          <w:p>
            <w:pPr>
              <w:pStyle w:val="TableParagraph"/>
              <w:spacing w:line="173" w:lineRule="exact" w:before="87"/>
              <w:ind w:left="1906" w:right="1907"/>
              <w:jc w:val="center"/>
              <w:rPr>
                <w:b/>
                <w:sz w:val="16"/>
              </w:rPr>
            </w:pPr>
            <w:r>
              <w:rPr>
                <w:b/>
                <w:sz w:val="16"/>
              </w:rPr>
              <w:t>Total</w:t>
            </w:r>
          </w:p>
        </w:tc>
      </w:tr>
      <w:tr>
        <w:trPr>
          <w:trHeight w:val="280" w:hRule="atLeast"/>
        </w:trPr>
        <w:tc>
          <w:tcPr>
            <w:tcW w:w="4451" w:type="dxa"/>
            <w:vMerge/>
            <w:tcBorders>
              <w:top w:val="nil"/>
              <w:left w:val="nil"/>
            </w:tcBorders>
          </w:tcPr>
          <w:p>
            <w:pPr>
              <w:rPr>
                <w:sz w:val="2"/>
                <w:szCs w:val="2"/>
              </w:rPr>
            </w:pPr>
          </w:p>
        </w:tc>
        <w:tc>
          <w:tcPr>
            <w:tcW w:w="2101" w:type="dxa"/>
            <w:shd w:val="clear" w:color="auto" w:fill="D9D9D9"/>
          </w:tcPr>
          <w:p>
            <w:pPr>
              <w:pStyle w:val="TableParagraph"/>
              <w:spacing w:line="173" w:lineRule="exact" w:before="87"/>
              <w:ind w:left="566" w:right="568"/>
              <w:jc w:val="center"/>
              <w:rPr>
                <w:b/>
                <w:sz w:val="16"/>
              </w:rPr>
            </w:pPr>
            <w:r>
              <w:rPr>
                <w:b/>
                <w:sz w:val="16"/>
              </w:rPr>
              <w:t>Ejercicio 2024</w:t>
            </w:r>
          </w:p>
        </w:tc>
        <w:tc>
          <w:tcPr>
            <w:tcW w:w="2101" w:type="dxa"/>
            <w:shd w:val="clear" w:color="auto" w:fill="D9D9D9"/>
          </w:tcPr>
          <w:p>
            <w:pPr>
              <w:pStyle w:val="TableParagraph"/>
              <w:spacing w:line="173" w:lineRule="exact" w:before="87"/>
              <w:ind w:left="566" w:right="568"/>
              <w:jc w:val="center"/>
              <w:rPr>
                <w:b/>
                <w:sz w:val="16"/>
              </w:rPr>
            </w:pPr>
            <w:r>
              <w:rPr>
                <w:b/>
                <w:sz w:val="16"/>
              </w:rPr>
              <w:t>Ejercicio 2023</w:t>
            </w:r>
          </w:p>
        </w:tc>
      </w:tr>
      <w:tr>
        <w:trPr>
          <w:trHeight w:val="302" w:hRule="atLeast"/>
        </w:trPr>
        <w:tc>
          <w:tcPr>
            <w:tcW w:w="4451" w:type="dxa"/>
          </w:tcPr>
          <w:p>
            <w:pPr>
              <w:pStyle w:val="TableParagraph"/>
              <w:spacing w:before="59"/>
              <w:ind w:left="73"/>
              <w:jc w:val="left"/>
              <w:rPr>
                <w:sz w:val="16"/>
              </w:rPr>
            </w:pPr>
            <w:r>
              <w:rPr>
                <w:sz w:val="16"/>
              </w:rPr>
              <w:t>Total personal medio del ejercicio</w:t>
            </w:r>
          </w:p>
        </w:tc>
        <w:tc>
          <w:tcPr>
            <w:tcW w:w="2101" w:type="dxa"/>
          </w:tcPr>
          <w:p>
            <w:pPr>
              <w:pStyle w:val="TableParagraph"/>
              <w:spacing w:before="59"/>
              <w:ind w:right="6"/>
              <w:jc w:val="center"/>
              <w:rPr>
                <w:sz w:val="16"/>
              </w:rPr>
            </w:pPr>
            <w:r>
              <w:rPr>
                <w:w w:val="101"/>
                <w:sz w:val="16"/>
              </w:rPr>
              <w:t>-</w:t>
            </w:r>
          </w:p>
        </w:tc>
        <w:tc>
          <w:tcPr>
            <w:tcW w:w="2101" w:type="dxa"/>
          </w:tcPr>
          <w:p>
            <w:pPr>
              <w:pStyle w:val="TableParagraph"/>
              <w:spacing w:before="59"/>
              <w:ind w:right="5"/>
              <w:jc w:val="center"/>
              <w:rPr>
                <w:sz w:val="16"/>
              </w:rPr>
            </w:pPr>
            <w:r>
              <w:rPr>
                <w:w w:val="101"/>
                <w:sz w:val="16"/>
              </w:rPr>
              <w:t>-</w:t>
            </w:r>
          </w:p>
        </w:tc>
      </w:tr>
    </w:tbl>
    <w:p>
      <w:pPr>
        <w:pStyle w:val="BodyText"/>
        <w:spacing w:before="5"/>
        <w:rPr>
          <w:sz w:val="20"/>
        </w:rPr>
      </w:pPr>
    </w:p>
    <w:p>
      <w:pPr>
        <w:pStyle w:val="ListParagraph"/>
        <w:numPr>
          <w:ilvl w:val="0"/>
          <w:numId w:val="9"/>
        </w:numPr>
        <w:tabs>
          <w:tab w:pos="603" w:val="left" w:leader="none"/>
        </w:tabs>
        <w:spacing w:line="240" w:lineRule="auto" w:before="0" w:after="0"/>
        <w:ind w:left="602" w:right="0" w:hanging="200"/>
        <w:jc w:val="left"/>
        <w:rPr>
          <w:sz w:val="17"/>
        </w:rPr>
      </w:pPr>
      <w:r>
        <w:rPr>
          <w:w w:val="105"/>
          <w:sz w:val="17"/>
        </w:rPr>
        <w:t>Todos los acuerdos </w:t>
      </w:r>
      <w:r>
        <w:rPr>
          <w:spacing w:val="2"/>
          <w:w w:val="105"/>
          <w:sz w:val="17"/>
        </w:rPr>
        <w:t>de </w:t>
      </w:r>
      <w:r>
        <w:rPr>
          <w:w w:val="105"/>
          <w:sz w:val="17"/>
        </w:rPr>
        <w:t>la empresa figuran en el balance y se ha incorporado información al respecto de la</w:t>
      </w:r>
      <w:r>
        <w:rPr>
          <w:spacing w:val="15"/>
          <w:w w:val="105"/>
          <w:sz w:val="17"/>
        </w:rPr>
        <w:t> </w:t>
      </w:r>
      <w:r>
        <w:rPr>
          <w:w w:val="105"/>
          <w:sz w:val="17"/>
        </w:rPr>
        <w:t>misma.</w:t>
      </w:r>
    </w:p>
    <w:p>
      <w:pPr>
        <w:pStyle w:val="BodyText"/>
        <w:spacing w:before="9"/>
        <w:rPr>
          <w:sz w:val="20"/>
        </w:rPr>
      </w:pPr>
    </w:p>
    <w:p>
      <w:pPr>
        <w:pStyle w:val="Heading3"/>
        <w:numPr>
          <w:ilvl w:val="0"/>
          <w:numId w:val="9"/>
        </w:numPr>
        <w:tabs>
          <w:tab w:pos="595" w:val="left" w:leader="none"/>
        </w:tabs>
        <w:spacing w:line="240" w:lineRule="auto" w:before="1" w:after="0"/>
        <w:ind w:left="594" w:right="0" w:hanging="192"/>
        <w:jc w:val="left"/>
      </w:pPr>
      <w:r>
        <w:rPr>
          <w:w w:val="105"/>
        </w:rPr>
        <w:t>Gastos de</w:t>
      </w:r>
      <w:r>
        <w:rPr>
          <w:spacing w:val="12"/>
          <w:w w:val="105"/>
        </w:rPr>
        <w:t> </w:t>
      </w:r>
      <w:r>
        <w:rPr>
          <w:w w:val="105"/>
        </w:rPr>
        <w:t>personal</w:t>
      </w:r>
    </w:p>
    <w:p>
      <w:pPr>
        <w:pStyle w:val="BodyText"/>
        <w:spacing w:before="7"/>
        <w:rPr>
          <w:b/>
          <w:sz w:val="19"/>
        </w:rPr>
      </w:pPr>
    </w:p>
    <w:p>
      <w:pPr>
        <w:pStyle w:val="BodyText"/>
        <w:ind w:left="403"/>
      </w:pPr>
      <w:r>
        <w:rPr>
          <w:w w:val="105"/>
        </w:rPr>
        <w:t>El epígrafe de “Gastos de personal” en el ejercicio 2024 y 2023 es el siguiente:</w:t>
      </w:r>
    </w:p>
    <w:p>
      <w:pPr>
        <w:pStyle w:val="BodyText"/>
        <w:spacing w:before="7"/>
        <w:rPr>
          <w:sz w:val="19"/>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6"/>
        <w:gridCol w:w="2598"/>
        <w:gridCol w:w="2597"/>
      </w:tblGrid>
      <w:tr>
        <w:trPr>
          <w:trHeight w:val="280" w:hRule="atLeast"/>
        </w:trPr>
        <w:tc>
          <w:tcPr>
            <w:tcW w:w="3456" w:type="dxa"/>
            <w:shd w:val="clear" w:color="auto" w:fill="D9D9D9"/>
          </w:tcPr>
          <w:p>
            <w:pPr>
              <w:pStyle w:val="TableParagraph"/>
              <w:spacing w:line="174" w:lineRule="exact" w:before="87"/>
              <w:ind w:left="1095"/>
              <w:jc w:val="left"/>
              <w:rPr>
                <w:b/>
                <w:sz w:val="16"/>
              </w:rPr>
            </w:pPr>
            <w:r>
              <w:rPr>
                <w:b/>
                <w:sz w:val="16"/>
              </w:rPr>
              <w:t>Gastos de personal</w:t>
            </w:r>
          </w:p>
        </w:tc>
        <w:tc>
          <w:tcPr>
            <w:tcW w:w="2598" w:type="dxa"/>
            <w:shd w:val="clear" w:color="auto" w:fill="D9D9D9"/>
          </w:tcPr>
          <w:p>
            <w:pPr>
              <w:pStyle w:val="TableParagraph"/>
              <w:spacing w:line="174" w:lineRule="exact" w:before="87"/>
              <w:ind w:left="840"/>
              <w:jc w:val="left"/>
              <w:rPr>
                <w:b/>
                <w:sz w:val="16"/>
              </w:rPr>
            </w:pPr>
            <w:r>
              <w:rPr>
                <w:b/>
                <w:sz w:val="16"/>
              </w:rPr>
              <w:t>Ejercicio 2024</w:t>
            </w:r>
          </w:p>
        </w:tc>
        <w:tc>
          <w:tcPr>
            <w:tcW w:w="2597" w:type="dxa"/>
            <w:shd w:val="clear" w:color="auto" w:fill="D9D9D9"/>
          </w:tcPr>
          <w:p>
            <w:pPr>
              <w:pStyle w:val="TableParagraph"/>
              <w:spacing w:line="174" w:lineRule="exact" w:before="87"/>
              <w:ind w:left="840"/>
              <w:jc w:val="left"/>
              <w:rPr>
                <w:b/>
                <w:sz w:val="16"/>
              </w:rPr>
            </w:pPr>
            <w:r>
              <w:rPr>
                <w:b/>
                <w:sz w:val="16"/>
              </w:rPr>
              <w:t>Ejercicio 2023</w:t>
            </w:r>
          </w:p>
        </w:tc>
      </w:tr>
      <w:tr>
        <w:trPr>
          <w:trHeight w:val="280" w:hRule="atLeast"/>
        </w:trPr>
        <w:tc>
          <w:tcPr>
            <w:tcW w:w="3456" w:type="dxa"/>
          </w:tcPr>
          <w:p>
            <w:pPr>
              <w:pStyle w:val="TableParagraph"/>
              <w:ind w:left="73"/>
              <w:jc w:val="left"/>
              <w:rPr>
                <w:sz w:val="16"/>
              </w:rPr>
            </w:pPr>
            <w:r>
              <w:rPr>
                <w:sz w:val="16"/>
              </w:rPr>
              <w:t>Sueldos y salarios</w:t>
            </w:r>
          </w:p>
        </w:tc>
        <w:tc>
          <w:tcPr>
            <w:tcW w:w="2598" w:type="dxa"/>
          </w:tcPr>
          <w:p>
            <w:pPr>
              <w:pStyle w:val="TableParagraph"/>
              <w:ind w:right="50"/>
              <w:rPr>
                <w:sz w:val="16"/>
              </w:rPr>
            </w:pPr>
            <w:r>
              <w:rPr>
                <w:sz w:val="16"/>
              </w:rPr>
              <w:t>(193.850,36)</w:t>
            </w:r>
          </w:p>
        </w:tc>
        <w:tc>
          <w:tcPr>
            <w:tcW w:w="2597" w:type="dxa"/>
          </w:tcPr>
          <w:p>
            <w:pPr>
              <w:pStyle w:val="TableParagraph"/>
              <w:ind w:right="51"/>
              <w:rPr>
                <w:sz w:val="16"/>
              </w:rPr>
            </w:pPr>
            <w:r>
              <w:rPr>
                <w:sz w:val="16"/>
              </w:rPr>
              <w:t>(185.344,70)</w:t>
            </w:r>
          </w:p>
        </w:tc>
      </w:tr>
      <w:tr>
        <w:trPr>
          <w:trHeight w:val="288" w:hRule="atLeast"/>
        </w:trPr>
        <w:tc>
          <w:tcPr>
            <w:tcW w:w="3456" w:type="dxa"/>
          </w:tcPr>
          <w:p>
            <w:pPr>
              <w:pStyle w:val="TableParagraph"/>
              <w:spacing w:before="52"/>
              <w:ind w:left="73"/>
              <w:jc w:val="left"/>
              <w:rPr>
                <w:sz w:val="16"/>
              </w:rPr>
            </w:pPr>
            <w:r>
              <w:rPr>
                <w:sz w:val="16"/>
              </w:rPr>
              <w:t>Cargas sociales</w:t>
            </w:r>
          </w:p>
        </w:tc>
        <w:tc>
          <w:tcPr>
            <w:tcW w:w="2598" w:type="dxa"/>
          </w:tcPr>
          <w:p>
            <w:pPr>
              <w:pStyle w:val="TableParagraph"/>
              <w:spacing w:before="52"/>
              <w:ind w:right="50"/>
              <w:rPr>
                <w:sz w:val="16"/>
              </w:rPr>
            </w:pPr>
            <w:r>
              <w:rPr>
                <w:sz w:val="16"/>
              </w:rPr>
              <w:t>(60.617,96)</w:t>
            </w:r>
          </w:p>
        </w:tc>
        <w:tc>
          <w:tcPr>
            <w:tcW w:w="2597" w:type="dxa"/>
          </w:tcPr>
          <w:p>
            <w:pPr>
              <w:pStyle w:val="TableParagraph"/>
              <w:spacing w:before="52"/>
              <w:ind w:right="49"/>
              <w:rPr>
                <w:sz w:val="16"/>
              </w:rPr>
            </w:pPr>
            <w:r>
              <w:rPr>
                <w:sz w:val="16"/>
              </w:rPr>
              <w:t>(58.902,69)</w:t>
            </w:r>
          </w:p>
        </w:tc>
      </w:tr>
      <w:tr>
        <w:trPr>
          <w:trHeight w:val="287" w:hRule="atLeast"/>
        </w:trPr>
        <w:tc>
          <w:tcPr>
            <w:tcW w:w="3456" w:type="dxa"/>
          </w:tcPr>
          <w:p>
            <w:pPr>
              <w:pStyle w:val="TableParagraph"/>
              <w:ind w:left="73"/>
              <w:jc w:val="left"/>
              <w:rPr>
                <w:b/>
                <w:sz w:val="16"/>
              </w:rPr>
            </w:pPr>
            <w:r>
              <w:rPr>
                <w:b/>
                <w:sz w:val="16"/>
              </w:rPr>
              <w:t>Total</w:t>
            </w:r>
          </w:p>
        </w:tc>
        <w:tc>
          <w:tcPr>
            <w:tcW w:w="2598" w:type="dxa"/>
          </w:tcPr>
          <w:p>
            <w:pPr>
              <w:pStyle w:val="TableParagraph"/>
              <w:ind w:right="49"/>
              <w:rPr>
                <w:b/>
                <w:sz w:val="16"/>
              </w:rPr>
            </w:pPr>
            <w:r>
              <w:rPr>
                <w:b/>
                <w:sz w:val="16"/>
              </w:rPr>
              <w:t>(254.468,32)</w:t>
            </w:r>
          </w:p>
        </w:tc>
        <w:tc>
          <w:tcPr>
            <w:tcW w:w="2597" w:type="dxa"/>
          </w:tcPr>
          <w:p>
            <w:pPr>
              <w:pStyle w:val="TableParagraph"/>
              <w:ind w:right="48"/>
              <w:rPr>
                <w:b/>
                <w:sz w:val="16"/>
              </w:rPr>
            </w:pPr>
            <w:r>
              <w:rPr>
                <w:b/>
                <w:sz w:val="16"/>
              </w:rPr>
              <w:t>(244.247,39)</w:t>
            </w:r>
          </w:p>
        </w:tc>
      </w:tr>
    </w:tbl>
    <w:p>
      <w:pPr>
        <w:pStyle w:val="BodyText"/>
        <w:spacing w:before="4"/>
        <w:rPr>
          <w:sz w:val="23"/>
        </w:rPr>
      </w:pPr>
    </w:p>
    <w:p>
      <w:pPr>
        <w:pStyle w:val="Heading3"/>
        <w:numPr>
          <w:ilvl w:val="0"/>
          <w:numId w:val="9"/>
        </w:numPr>
        <w:tabs>
          <w:tab w:pos="617" w:val="left" w:leader="none"/>
        </w:tabs>
        <w:spacing w:line="240" w:lineRule="auto" w:before="0" w:after="0"/>
        <w:ind w:left="616" w:right="0" w:hanging="214"/>
        <w:jc w:val="left"/>
      </w:pPr>
      <w:r>
        <w:rPr>
          <w:w w:val="105"/>
        </w:rPr>
        <w:t>Otros gastos de</w:t>
      </w:r>
      <w:r>
        <w:rPr>
          <w:spacing w:val="14"/>
          <w:w w:val="105"/>
        </w:rPr>
        <w:t> </w:t>
      </w:r>
      <w:r>
        <w:rPr>
          <w:w w:val="105"/>
        </w:rPr>
        <w:t>explotación</w:t>
      </w:r>
    </w:p>
    <w:p>
      <w:pPr>
        <w:pStyle w:val="BodyText"/>
        <w:spacing w:before="5"/>
        <w:rPr>
          <w:b/>
          <w:sz w:val="14"/>
        </w:rPr>
      </w:pPr>
    </w:p>
    <w:p>
      <w:pPr>
        <w:pStyle w:val="BodyText"/>
        <w:ind w:left="403"/>
      </w:pPr>
      <w:r>
        <w:rPr>
          <w:w w:val="105"/>
        </w:rPr>
        <w:t>El epígrafe de “Otros gastos de explotación” en el ejercicio 2024 y 2023 es el siguiente:</w:t>
      </w:r>
    </w:p>
    <w:p>
      <w:pPr>
        <w:pStyle w:val="BodyText"/>
        <w:spacing w:before="7" w:after="1"/>
        <w:rPr>
          <w:sz w:val="9"/>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9"/>
        <w:gridCol w:w="1668"/>
        <w:gridCol w:w="1675"/>
      </w:tblGrid>
      <w:tr>
        <w:trPr>
          <w:trHeight w:val="287" w:hRule="atLeast"/>
        </w:trPr>
        <w:tc>
          <w:tcPr>
            <w:tcW w:w="5309" w:type="dxa"/>
            <w:shd w:val="clear" w:color="auto" w:fill="D9D9D9"/>
          </w:tcPr>
          <w:p>
            <w:pPr>
              <w:pStyle w:val="TableParagraph"/>
              <w:spacing w:line="174" w:lineRule="exact" w:before="94"/>
              <w:ind w:left="1733"/>
              <w:jc w:val="left"/>
              <w:rPr>
                <w:b/>
                <w:sz w:val="16"/>
              </w:rPr>
            </w:pPr>
            <w:r>
              <w:rPr>
                <w:b/>
                <w:sz w:val="16"/>
              </w:rPr>
              <w:t>Otros gastos de explotación</w:t>
            </w:r>
          </w:p>
        </w:tc>
        <w:tc>
          <w:tcPr>
            <w:tcW w:w="1668" w:type="dxa"/>
            <w:shd w:val="clear" w:color="auto" w:fill="D9D9D9"/>
          </w:tcPr>
          <w:p>
            <w:pPr>
              <w:pStyle w:val="TableParagraph"/>
              <w:spacing w:line="174" w:lineRule="exact" w:before="94"/>
              <w:ind w:left="378"/>
              <w:jc w:val="left"/>
              <w:rPr>
                <w:b/>
                <w:sz w:val="16"/>
              </w:rPr>
            </w:pPr>
            <w:r>
              <w:rPr>
                <w:b/>
                <w:sz w:val="16"/>
              </w:rPr>
              <w:t>Ejercicio 2024</w:t>
            </w:r>
          </w:p>
        </w:tc>
        <w:tc>
          <w:tcPr>
            <w:tcW w:w="1675" w:type="dxa"/>
            <w:shd w:val="clear" w:color="auto" w:fill="D9D9D9"/>
          </w:tcPr>
          <w:p>
            <w:pPr>
              <w:pStyle w:val="TableParagraph"/>
              <w:spacing w:line="174" w:lineRule="exact" w:before="94"/>
              <w:ind w:left="378"/>
              <w:jc w:val="left"/>
              <w:rPr>
                <w:b/>
                <w:sz w:val="16"/>
              </w:rPr>
            </w:pPr>
            <w:r>
              <w:rPr>
                <w:b/>
                <w:sz w:val="16"/>
              </w:rPr>
              <w:t>Ejercicio 2023</w:t>
            </w:r>
          </w:p>
        </w:tc>
      </w:tr>
      <w:tr>
        <w:trPr>
          <w:trHeight w:val="280" w:hRule="atLeast"/>
        </w:trPr>
        <w:tc>
          <w:tcPr>
            <w:tcW w:w="5309" w:type="dxa"/>
          </w:tcPr>
          <w:p>
            <w:pPr>
              <w:pStyle w:val="TableParagraph"/>
              <w:ind w:left="73"/>
              <w:jc w:val="left"/>
              <w:rPr>
                <w:sz w:val="16"/>
              </w:rPr>
            </w:pPr>
            <w:r>
              <w:rPr>
                <w:sz w:val="16"/>
              </w:rPr>
              <w:t>Reparaciones y conservación</w:t>
            </w:r>
          </w:p>
        </w:tc>
        <w:tc>
          <w:tcPr>
            <w:tcW w:w="1668" w:type="dxa"/>
          </w:tcPr>
          <w:p>
            <w:pPr>
              <w:pStyle w:val="TableParagraph"/>
              <w:ind w:right="49"/>
              <w:rPr>
                <w:sz w:val="16"/>
              </w:rPr>
            </w:pPr>
            <w:r>
              <w:rPr>
                <w:w w:val="101"/>
                <w:sz w:val="16"/>
              </w:rPr>
              <w:t>-</w:t>
            </w:r>
          </w:p>
        </w:tc>
        <w:tc>
          <w:tcPr>
            <w:tcW w:w="1675" w:type="dxa"/>
          </w:tcPr>
          <w:p>
            <w:pPr>
              <w:pStyle w:val="TableParagraph"/>
              <w:ind w:right="50"/>
              <w:rPr>
                <w:sz w:val="16"/>
              </w:rPr>
            </w:pPr>
            <w:r>
              <w:rPr>
                <w:sz w:val="16"/>
              </w:rPr>
              <w:t>(85,36)</w:t>
            </w:r>
          </w:p>
        </w:tc>
      </w:tr>
      <w:tr>
        <w:trPr>
          <w:trHeight w:val="281" w:hRule="atLeast"/>
        </w:trPr>
        <w:tc>
          <w:tcPr>
            <w:tcW w:w="5309" w:type="dxa"/>
          </w:tcPr>
          <w:p>
            <w:pPr>
              <w:pStyle w:val="TableParagraph"/>
              <w:ind w:left="73"/>
              <w:jc w:val="left"/>
              <w:rPr>
                <w:sz w:val="16"/>
              </w:rPr>
            </w:pPr>
            <w:r>
              <w:rPr>
                <w:sz w:val="16"/>
              </w:rPr>
              <w:t>Servicios de profesionales independientes</w:t>
            </w:r>
          </w:p>
        </w:tc>
        <w:tc>
          <w:tcPr>
            <w:tcW w:w="1668" w:type="dxa"/>
          </w:tcPr>
          <w:p>
            <w:pPr>
              <w:pStyle w:val="TableParagraph"/>
              <w:ind w:right="43"/>
              <w:rPr>
                <w:sz w:val="16"/>
              </w:rPr>
            </w:pPr>
            <w:r>
              <w:rPr>
                <w:sz w:val="16"/>
              </w:rPr>
              <w:t>(11.204,16)</w:t>
            </w:r>
          </w:p>
        </w:tc>
        <w:tc>
          <w:tcPr>
            <w:tcW w:w="1675" w:type="dxa"/>
          </w:tcPr>
          <w:p>
            <w:pPr>
              <w:pStyle w:val="TableParagraph"/>
              <w:ind w:right="50"/>
              <w:rPr>
                <w:sz w:val="16"/>
              </w:rPr>
            </w:pPr>
            <w:r>
              <w:rPr>
                <w:sz w:val="16"/>
              </w:rPr>
              <w:t>(10.158,39)</w:t>
            </w:r>
          </w:p>
        </w:tc>
      </w:tr>
      <w:tr>
        <w:trPr>
          <w:trHeight w:val="287" w:hRule="atLeast"/>
        </w:trPr>
        <w:tc>
          <w:tcPr>
            <w:tcW w:w="5309" w:type="dxa"/>
          </w:tcPr>
          <w:p>
            <w:pPr>
              <w:pStyle w:val="TableParagraph"/>
              <w:spacing w:before="52"/>
              <w:ind w:left="73"/>
              <w:jc w:val="left"/>
              <w:rPr>
                <w:sz w:val="16"/>
              </w:rPr>
            </w:pPr>
            <w:r>
              <w:rPr>
                <w:sz w:val="16"/>
              </w:rPr>
              <w:t>Transportes</w:t>
            </w:r>
          </w:p>
        </w:tc>
        <w:tc>
          <w:tcPr>
            <w:tcW w:w="1668" w:type="dxa"/>
          </w:tcPr>
          <w:p>
            <w:pPr>
              <w:pStyle w:val="TableParagraph"/>
              <w:spacing w:before="52"/>
              <w:ind w:right="49"/>
              <w:rPr>
                <w:sz w:val="16"/>
              </w:rPr>
            </w:pPr>
            <w:r>
              <w:rPr>
                <w:w w:val="101"/>
                <w:sz w:val="16"/>
              </w:rPr>
              <w:t>-</w:t>
            </w:r>
          </w:p>
        </w:tc>
        <w:tc>
          <w:tcPr>
            <w:tcW w:w="1675" w:type="dxa"/>
          </w:tcPr>
          <w:p>
            <w:pPr>
              <w:pStyle w:val="TableParagraph"/>
              <w:spacing w:before="52"/>
              <w:ind w:right="50"/>
              <w:rPr>
                <w:sz w:val="16"/>
              </w:rPr>
            </w:pPr>
            <w:r>
              <w:rPr>
                <w:sz w:val="16"/>
              </w:rPr>
              <w:t>(75,90)</w:t>
            </w:r>
          </w:p>
        </w:tc>
      </w:tr>
      <w:tr>
        <w:trPr>
          <w:trHeight w:val="280" w:hRule="atLeast"/>
        </w:trPr>
        <w:tc>
          <w:tcPr>
            <w:tcW w:w="5309" w:type="dxa"/>
          </w:tcPr>
          <w:p>
            <w:pPr>
              <w:pStyle w:val="TableParagraph"/>
              <w:ind w:left="73"/>
              <w:jc w:val="left"/>
              <w:rPr>
                <w:sz w:val="16"/>
              </w:rPr>
            </w:pPr>
            <w:r>
              <w:rPr>
                <w:sz w:val="16"/>
              </w:rPr>
              <w:t>Primas de seguros</w:t>
            </w:r>
          </w:p>
        </w:tc>
        <w:tc>
          <w:tcPr>
            <w:tcW w:w="1668" w:type="dxa"/>
          </w:tcPr>
          <w:p>
            <w:pPr>
              <w:pStyle w:val="TableParagraph"/>
              <w:ind w:right="43"/>
              <w:rPr>
                <w:sz w:val="16"/>
              </w:rPr>
            </w:pPr>
            <w:r>
              <w:rPr>
                <w:sz w:val="16"/>
              </w:rPr>
              <w:t>(1.575,67)</w:t>
            </w:r>
          </w:p>
        </w:tc>
        <w:tc>
          <w:tcPr>
            <w:tcW w:w="1675" w:type="dxa"/>
          </w:tcPr>
          <w:p>
            <w:pPr>
              <w:pStyle w:val="TableParagraph"/>
              <w:ind w:right="50"/>
              <w:rPr>
                <w:sz w:val="16"/>
              </w:rPr>
            </w:pPr>
            <w:r>
              <w:rPr>
                <w:sz w:val="16"/>
              </w:rPr>
              <w:t>(791,04)</w:t>
            </w:r>
          </w:p>
        </w:tc>
      </w:tr>
      <w:tr>
        <w:trPr>
          <w:trHeight w:val="280" w:hRule="atLeast"/>
        </w:trPr>
        <w:tc>
          <w:tcPr>
            <w:tcW w:w="5309" w:type="dxa"/>
          </w:tcPr>
          <w:p>
            <w:pPr>
              <w:pStyle w:val="TableParagraph"/>
              <w:ind w:left="73"/>
              <w:jc w:val="left"/>
              <w:rPr>
                <w:sz w:val="16"/>
              </w:rPr>
            </w:pPr>
            <w:r>
              <w:rPr>
                <w:sz w:val="16"/>
              </w:rPr>
              <w:t>Servicios bancarios y similares</w:t>
            </w:r>
          </w:p>
        </w:tc>
        <w:tc>
          <w:tcPr>
            <w:tcW w:w="1668" w:type="dxa"/>
          </w:tcPr>
          <w:p>
            <w:pPr>
              <w:pStyle w:val="TableParagraph"/>
              <w:ind w:right="43"/>
              <w:rPr>
                <w:sz w:val="16"/>
              </w:rPr>
            </w:pPr>
            <w:r>
              <w:rPr>
                <w:sz w:val="16"/>
              </w:rPr>
              <w:t>(458,24)</w:t>
            </w:r>
          </w:p>
        </w:tc>
        <w:tc>
          <w:tcPr>
            <w:tcW w:w="1675" w:type="dxa"/>
          </w:tcPr>
          <w:p>
            <w:pPr>
              <w:pStyle w:val="TableParagraph"/>
              <w:ind w:right="50"/>
              <w:rPr>
                <w:sz w:val="16"/>
              </w:rPr>
            </w:pPr>
            <w:r>
              <w:rPr>
                <w:sz w:val="16"/>
              </w:rPr>
              <w:t>(423,39)</w:t>
            </w:r>
          </w:p>
        </w:tc>
      </w:tr>
      <w:tr>
        <w:trPr>
          <w:trHeight w:val="288" w:hRule="atLeast"/>
        </w:trPr>
        <w:tc>
          <w:tcPr>
            <w:tcW w:w="5309" w:type="dxa"/>
          </w:tcPr>
          <w:p>
            <w:pPr>
              <w:pStyle w:val="TableParagraph"/>
              <w:ind w:left="73"/>
              <w:jc w:val="left"/>
              <w:rPr>
                <w:sz w:val="16"/>
              </w:rPr>
            </w:pPr>
            <w:r>
              <w:rPr>
                <w:sz w:val="16"/>
              </w:rPr>
              <w:t>Publicidad y relaciones públicas</w:t>
            </w:r>
          </w:p>
        </w:tc>
        <w:tc>
          <w:tcPr>
            <w:tcW w:w="1668" w:type="dxa"/>
          </w:tcPr>
          <w:p>
            <w:pPr>
              <w:pStyle w:val="TableParagraph"/>
              <w:ind w:right="43"/>
              <w:rPr>
                <w:sz w:val="16"/>
              </w:rPr>
            </w:pPr>
            <w:r>
              <w:rPr>
                <w:sz w:val="16"/>
              </w:rPr>
              <w:t>(1.790,70)</w:t>
            </w:r>
          </w:p>
        </w:tc>
        <w:tc>
          <w:tcPr>
            <w:tcW w:w="1675" w:type="dxa"/>
          </w:tcPr>
          <w:p>
            <w:pPr>
              <w:pStyle w:val="TableParagraph"/>
              <w:ind w:right="50"/>
              <w:rPr>
                <w:sz w:val="16"/>
              </w:rPr>
            </w:pPr>
            <w:r>
              <w:rPr>
                <w:sz w:val="16"/>
              </w:rPr>
              <w:t>(1.549,00)</w:t>
            </w:r>
          </w:p>
        </w:tc>
      </w:tr>
      <w:tr>
        <w:trPr>
          <w:trHeight w:val="281" w:hRule="atLeast"/>
        </w:trPr>
        <w:tc>
          <w:tcPr>
            <w:tcW w:w="5309" w:type="dxa"/>
          </w:tcPr>
          <w:p>
            <w:pPr>
              <w:pStyle w:val="TableParagraph"/>
              <w:ind w:left="73"/>
              <w:jc w:val="left"/>
              <w:rPr>
                <w:sz w:val="16"/>
              </w:rPr>
            </w:pPr>
            <w:r>
              <w:rPr>
                <w:sz w:val="16"/>
              </w:rPr>
              <w:t>Suministros</w:t>
            </w:r>
          </w:p>
        </w:tc>
        <w:tc>
          <w:tcPr>
            <w:tcW w:w="1668" w:type="dxa"/>
          </w:tcPr>
          <w:p>
            <w:pPr>
              <w:pStyle w:val="TableParagraph"/>
              <w:ind w:right="43"/>
              <w:rPr>
                <w:sz w:val="16"/>
              </w:rPr>
            </w:pPr>
            <w:r>
              <w:rPr>
                <w:sz w:val="16"/>
              </w:rPr>
              <w:t>(100,00)</w:t>
            </w:r>
          </w:p>
        </w:tc>
        <w:tc>
          <w:tcPr>
            <w:tcW w:w="1675" w:type="dxa"/>
          </w:tcPr>
          <w:p>
            <w:pPr>
              <w:pStyle w:val="TableParagraph"/>
              <w:ind w:right="50"/>
              <w:rPr>
                <w:sz w:val="16"/>
              </w:rPr>
            </w:pPr>
            <w:r>
              <w:rPr>
                <w:sz w:val="16"/>
              </w:rPr>
              <w:t>(6.691,91)</w:t>
            </w:r>
          </w:p>
        </w:tc>
      </w:tr>
      <w:tr>
        <w:trPr>
          <w:trHeight w:val="280" w:hRule="atLeast"/>
        </w:trPr>
        <w:tc>
          <w:tcPr>
            <w:tcW w:w="5309" w:type="dxa"/>
          </w:tcPr>
          <w:p>
            <w:pPr>
              <w:pStyle w:val="TableParagraph"/>
              <w:ind w:left="73"/>
              <w:jc w:val="left"/>
              <w:rPr>
                <w:sz w:val="16"/>
              </w:rPr>
            </w:pPr>
            <w:r>
              <w:rPr>
                <w:sz w:val="16"/>
              </w:rPr>
              <w:t>Otros servicios</w:t>
            </w:r>
          </w:p>
        </w:tc>
        <w:tc>
          <w:tcPr>
            <w:tcW w:w="1668" w:type="dxa"/>
          </w:tcPr>
          <w:p>
            <w:pPr>
              <w:pStyle w:val="TableParagraph"/>
              <w:ind w:right="43"/>
              <w:rPr>
                <w:sz w:val="16"/>
              </w:rPr>
            </w:pPr>
            <w:r>
              <w:rPr>
                <w:sz w:val="16"/>
              </w:rPr>
              <w:t>(19.585,64)</w:t>
            </w:r>
          </w:p>
        </w:tc>
        <w:tc>
          <w:tcPr>
            <w:tcW w:w="1675" w:type="dxa"/>
          </w:tcPr>
          <w:p>
            <w:pPr>
              <w:pStyle w:val="TableParagraph"/>
              <w:ind w:right="50"/>
              <w:rPr>
                <w:sz w:val="16"/>
              </w:rPr>
            </w:pPr>
            <w:r>
              <w:rPr>
                <w:sz w:val="16"/>
              </w:rPr>
              <w:t>(10.289,56)</w:t>
            </w:r>
          </w:p>
        </w:tc>
      </w:tr>
      <w:tr>
        <w:trPr>
          <w:trHeight w:val="287" w:hRule="atLeast"/>
        </w:trPr>
        <w:tc>
          <w:tcPr>
            <w:tcW w:w="5309" w:type="dxa"/>
          </w:tcPr>
          <w:p>
            <w:pPr>
              <w:pStyle w:val="TableParagraph"/>
              <w:ind w:left="73"/>
              <w:jc w:val="left"/>
              <w:rPr>
                <w:sz w:val="16"/>
              </w:rPr>
            </w:pPr>
            <w:r>
              <w:rPr>
                <w:sz w:val="16"/>
              </w:rPr>
              <w:t>Otros tributos</w:t>
            </w:r>
          </w:p>
        </w:tc>
        <w:tc>
          <w:tcPr>
            <w:tcW w:w="1668" w:type="dxa"/>
          </w:tcPr>
          <w:p>
            <w:pPr>
              <w:pStyle w:val="TableParagraph"/>
              <w:ind w:right="49"/>
              <w:rPr>
                <w:sz w:val="16"/>
              </w:rPr>
            </w:pPr>
            <w:r>
              <w:rPr>
                <w:w w:val="101"/>
                <w:sz w:val="16"/>
              </w:rPr>
              <w:t>-</w:t>
            </w:r>
          </w:p>
        </w:tc>
        <w:tc>
          <w:tcPr>
            <w:tcW w:w="1675" w:type="dxa"/>
          </w:tcPr>
          <w:p>
            <w:pPr>
              <w:pStyle w:val="TableParagraph"/>
              <w:ind w:right="50"/>
              <w:rPr>
                <w:sz w:val="16"/>
              </w:rPr>
            </w:pPr>
            <w:r>
              <w:rPr>
                <w:sz w:val="16"/>
              </w:rPr>
              <w:t>(8,36)</w:t>
            </w:r>
          </w:p>
        </w:tc>
      </w:tr>
      <w:tr>
        <w:trPr>
          <w:trHeight w:val="281" w:hRule="atLeast"/>
        </w:trPr>
        <w:tc>
          <w:tcPr>
            <w:tcW w:w="5309" w:type="dxa"/>
          </w:tcPr>
          <w:p>
            <w:pPr>
              <w:pStyle w:val="TableParagraph"/>
              <w:ind w:left="73"/>
              <w:jc w:val="left"/>
              <w:rPr>
                <w:sz w:val="16"/>
              </w:rPr>
            </w:pPr>
            <w:r>
              <w:rPr>
                <w:sz w:val="16"/>
              </w:rPr>
              <w:t>Pérdidas de créditos comerciales incobrables (Nota 5.c)</w:t>
            </w:r>
          </w:p>
        </w:tc>
        <w:tc>
          <w:tcPr>
            <w:tcW w:w="1668" w:type="dxa"/>
          </w:tcPr>
          <w:p>
            <w:pPr>
              <w:pStyle w:val="TableParagraph"/>
              <w:ind w:right="43"/>
              <w:rPr>
                <w:sz w:val="16"/>
              </w:rPr>
            </w:pPr>
            <w:r>
              <w:rPr>
                <w:sz w:val="16"/>
              </w:rPr>
              <w:t>(789,11)</w:t>
            </w:r>
          </w:p>
        </w:tc>
        <w:tc>
          <w:tcPr>
            <w:tcW w:w="1675" w:type="dxa"/>
          </w:tcPr>
          <w:p>
            <w:pPr>
              <w:pStyle w:val="TableParagraph"/>
              <w:ind w:right="56"/>
              <w:rPr>
                <w:sz w:val="16"/>
              </w:rPr>
            </w:pPr>
            <w:r>
              <w:rPr>
                <w:w w:val="101"/>
                <w:sz w:val="16"/>
              </w:rPr>
              <w:t>-</w:t>
            </w:r>
          </w:p>
        </w:tc>
      </w:tr>
      <w:tr>
        <w:trPr>
          <w:trHeight w:val="288" w:hRule="atLeast"/>
        </w:trPr>
        <w:tc>
          <w:tcPr>
            <w:tcW w:w="5309" w:type="dxa"/>
            <w:shd w:val="clear" w:color="auto" w:fill="F1F1F1"/>
          </w:tcPr>
          <w:p>
            <w:pPr>
              <w:pStyle w:val="TableParagraph"/>
              <w:ind w:left="73"/>
              <w:jc w:val="left"/>
              <w:rPr>
                <w:b/>
                <w:sz w:val="16"/>
              </w:rPr>
            </w:pPr>
            <w:r>
              <w:rPr>
                <w:b/>
                <w:sz w:val="16"/>
              </w:rPr>
              <w:t>Total</w:t>
            </w:r>
          </w:p>
        </w:tc>
        <w:tc>
          <w:tcPr>
            <w:tcW w:w="1668" w:type="dxa"/>
            <w:shd w:val="clear" w:color="auto" w:fill="F1F1F1"/>
          </w:tcPr>
          <w:p>
            <w:pPr>
              <w:pStyle w:val="TableParagraph"/>
              <w:ind w:right="42"/>
              <w:rPr>
                <w:b/>
                <w:sz w:val="16"/>
              </w:rPr>
            </w:pPr>
            <w:r>
              <w:rPr>
                <w:b/>
                <w:sz w:val="16"/>
              </w:rPr>
              <w:t>(35.503,52)</w:t>
            </w:r>
          </w:p>
        </w:tc>
        <w:tc>
          <w:tcPr>
            <w:tcW w:w="1675" w:type="dxa"/>
            <w:shd w:val="clear" w:color="auto" w:fill="F1F1F1"/>
          </w:tcPr>
          <w:p>
            <w:pPr>
              <w:pStyle w:val="TableParagraph"/>
              <w:ind w:right="49"/>
              <w:rPr>
                <w:b/>
                <w:sz w:val="16"/>
              </w:rPr>
            </w:pPr>
            <w:r>
              <w:rPr>
                <w:b/>
                <w:sz w:val="16"/>
              </w:rPr>
              <w:t>(30.072,91)</w:t>
            </w:r>
          </w:p>
        </w:tc>
      </w:tr>
    </w:tbl>
    <w:p>
      <w:pPr>
        <w:pStyle w:val="BodyText"/>
        <w:spacing w:before="5"/>
        <w:rPr>
          <w:sz w:val="13"/>
        </w:rPr>
      </w:pPr>
    </w:p>
    <w:p>
      <w:pPr>
        <w:pStyle w:val="Heading3"/>
        <w:numPr>
          <w:ilvl w:val="0"/>
          <w:numId w:val="9"/>
        </w:numPr>
        <w:tabs>
          <w:tab w:pos="588" w:val="left" w:leader="none"/>
        </w:tabs>
        <w:spacing w:line="240" w:lineRule="auto" w:before="0" w:after="0"/>
        <w:ind w:left="587" w:right="0" w:hanging="185"/>
        <w:jc w:val="left"/>
      </w:pPr>
      <w:r>
        <w:rPr>
          <w:w w:val="105"/>
        </w:rPr>
        <w:t>Subvenciones</w:t>
      </w:r>
      <w:r>
        <w:rPr>
          <w:spacing w:val="2"/>
          <w:w w:val="105"/>
        </w:rPr>
        <w:t> </w:t>
      </w:r>
      <w:r>
        <w:rPr>
          <w:w w:val="105"/>
        </w:rPr>
        <w:t>recibidas</w:t>
      </w:r>
    </w:p>
    <w:p>
      <w:pPr>
        <w:pStyle w:val="BodyText"/>
        <w:spacing w:before="5"/>
        <w:rPr>
          <w:b/>
          <w:sz w:val="14"/>
        </w:rPr>
      </w:pPr>
    </w:p>
    <w:p>
      <w:pPr>
        <w:spacing w:before="0"/>
        <w:ind w:left="403" w:right="0" w:firstLine="0"/>
        <w:jc w:val="left"/>
        <w:rPr>
          <w:b/>
          <w:i/>
          <w:sz w:val="17"/>
        </w:rPr>
      </w:pPr>
      <w:r>
        <w:rPr>
          <w:b/>
          <w:i/>
          <w:w w:val="105"/>
          <w:sz w:val="17"/>
          <w:u w:val="single"/>
        </w:rPr>
        <w:t>Subvenciones de capital</w:t>
      </w:r>
    </w:p>
    <w:p>
      <w:pPr>
        <w:pStyle w:val="BodyText"/>
        <w:spacing w:before="10"/>
        <w:rPr>
          <w:b/>
          <w:i/>
          <w:sz w:val="13"/>
        </w:rPr>
      </w:pPr>
    </w:p>
    <w:p>
      <w:pPr>
        <w:pStyle w:val="BodyText"/>
        <w:spacing w:line="302" w:lineRule="auto"/>
        <w:ind w:left="403" w:right="430"/>
        <w:jc w:val="both"/>
      </w:pPr>
      <w:r>
        <w:rPr>
          <w:w w:val="105"/>
        </w:rPr>
        <w:t>El detalle </w:t>
      </w:r>
      <w:r>
        <w:rPr>
          <w:spacing w:val="2"/>
          <w:w w:val="105"/>
        </w:rPr>
        <w:t>de </w:t>
      </w:r>
      <w:r>
        <w:rPr>
          <w:w w:val="105"/>
        </w:rPr>
        <w:t>las “Subvenciones de capital” </w:t>
      </w:r>
      <w:r>
        <w:rPr>
          <w:spacing w:val="2"/>
          <w:w w:val="105"/>
        </w:rPr>
        <w:t>no </w:t>
      </w:r>
      <w:r>
        <w:rPr>
          <w:w w:val="105"/>
        </w:rPr>
        <w:t>reintegrables concedidas por el EXCMO. AYUNTAMIENTO DE LOS REALEJOS (Nota </w:t>
      </w:r>
      <w:r>
        <w:rPr>
          <w:spacing w:val="2"/>
          <w:w w:val="105"/>
        </w:rPr>
        <w:t>9), </w:t>
      </w:r>
      <w:r>
        <w:rPr>
          <w:w w:val="105"/>
        </w:rPr>
        <w:t>que aparecen en el balance bajo el epígrafe “Subvenciones, donaciones y legados recibidos” y</w:t>
      </w:r>
      <w:r>
        <w:rPr>
          <w:spacing w:val="40"/>
          <w:w w:val="105"/>
        </w:rPr>
        <w:t> </w:t>
      </w:r>
      <w:r>
        <w:rPr>
          <w:w w:val="105"/>
        </w:rPr>
        <w:t>las imputaciones a resultados 2024 y 2023 son las</w:t>
      </w:r>
      <w:r>
        <w:rPr>
          <w:spacing w:val="21"/>
          <w:w w:val="105"/>
        </w:rPr>
        <w:t> </w:t>
      </w:r>
      <w:r>
        <w:rPr>
          <w:w w:val="105"/>
        </w:rPr>
        <w:t>siguientes:</w:t>
      </w:r>
    </w:p>
    <w:p>
      <w:pPr>
        <w:pStyle w:val="BodyText"/>
        <w:spacing w:before="4"/>
        <w:rPr>
          <w:sz w:val="5"/>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7"/>
        <w:gridCol w:w="1263"/>
        <w:gridCol w:w="1270"/>
        <w:gridCol w:w="1262"/>
        <w:gridCol w:w="1263"/>
        <w:gridCol w:w="1270"/>
        <w:gridCol w:w="1263"/>
      </w:tblGrid>
      <w:tr>
        <w:trPr>
          <w:trHeight w:val="657" w:hRule="atLeast"/>
        </w:trPr>
        <w:tc>
          <w:tcPr>
            <w:tcW w:w="1057" w:type="dxa"/>
            <w:shd w:val="clear" w:color="auto" w:fill="D9D9D9"/>
          </w:tcPr>
          <w:p>
            <w:pPr>
              <w:pStyle w:val="TableParagraph"/>
              <w:spacing w:before="4"/>
              <w:jc w:val="left"/>
              <w:rPr>
                <w:sz w:val="21"/>
              </w:rPr>
            </w:pPr>
          </w:p>
          <w:p>
            <w:pPr>
              <w:pStyle w:val="TableParagraph"/>
              <w:spacing w:line="200" w:lineRule="atLeast" w:before="0"/>
              <w:ind w:left="200" w:right="126" w:hanging="57"/>
              <w:jc w:val="left"/>
              <w:rPr>
                <w:b/>
                <w:sz w:val="16"/>
              </w:rPr>
            </w:pPr>
            <w:r>
              <w:rPr>
                <w:b/>
                <w:sz w:val="16"/>
              </w:rPr>
              <w:t>Ejercicio de concesión</w:t>
            </w:r>
          </w:p>
        </w:tc>
        <w:tc>
          <w:tcPr>
            <w:tcW w:w="1263" w:type="dxa"/>
            <w:shd w:val="clear" w:color="auto" w:fill="D9D9D9"/>
          </w:tcPr>
          <w:p>
            <w:pPr>
              <w:pStyle w:val="TableParagraph"/>
              <w:spacing w:before="0"/>
              <w:jc w:val="left"/>
              <w:rPr>
                <w:sz w:val="16"/>
              </w:rPr>
            </w:pPr>
          </w:p>
          <w:p>
            <w:pPr>
              <w:pStyle w:val="TableParagraph"/>
              <w:spacing w:before="0"/>
              <w:jc w:val="left"/>
              <w:rPr>
                <w:sz w:val="22"/>
              </w:rPr>
            </w:pPr>
          </w:p>
          <w:p>
            <w:pPr>
              <w:pStyle w:val="TableParagraph"/>
              <w:spacing w:line="173" w:lineRule="exact" w:before="0"/>
              <w:ind w:left="237"/>
              <w:jc w:val="left"/>
              <w:rPr>
                <w:b/>
                <w:sz w:val="16"/>
              </w:rPr>
            </w:pPr>
            <w:r>
              <w:rPr>
                <w:b/>
                <w:sz w:val="16"/>
              </w:rPr>
              <w:t>31/12/2023</w:t>
            </w:r>
          </w:p>
        </w:tc>
        <w:tc>
          <w:tcPr>
            <w:tcW w:w="1270" w:type="dxa"/>
            <w:shd w:val="clear" w:color="auto" w:fill="D9D9D9"/>
          </w:tcPr>
          <w:p>
            <w:pPr>
              <w:pStyle w:val="TableParagraph"/>
              <w:spacing w:line="200" w:lineRule="atLeast" w:before="62"/>
              <w:ind w:left="294" w:right="273" w:hanging="6"/>
              <w:jc w:val="center"/>
              <w:rPr>
                <w:b/>
                <w:sz w:val="16"/>
              </w:rPr>
            </w:pPr>
            <w:r>
              <w:rPr>
                <w:b/>
                <w:sz w:val="16"/>
              </w:rPr>
              <w:t>Importe concedido 2024</w:t>
            </w:r>
          </w:p>
        </w:tc>
        <w:tc>
          <w:tcPr>
            <w:tcW w:w="1262" w:type="dxa"/>
            <w:shd w:val="clear" w:color="auto" w:fill="D9D9D9"/>
          </w:tcPr>
          <w:p>
            <w:pPr>
              <w:pStyle w:val="TableParagraph"/>
              <w:spacing w:line="200" w:lineRule="atLeast" w:before="62"/>
              <w:ind w:left="117" w:right="107" w:hanging="2"/>
              <w:jc w:val="center"/>
              <w:rPr>
                <w:b/>
                <w:sz w:val="16"/>
              </w:rPr>
            </w:pPr>
            <w:r>
              <w:rPr>
                <w:b/>
                <w:sz w:val="16"/>
              </w:rPr>
              <w:t>Efecto impositivo concesión 2024</w:t>
            </w:r>
          </w:p>
        </w:tc>
        <w:tc>
          <w:tcPr>
            <w:tcW w:w="1263" w:type="dxa"/>
            <w:shd w:val="clear" w:color="auto" w:fill="D9D9D9"/>
          </w:tcPr>
          <w:p>
            <w:pPr>
              <w:pStyle w:val="TableParagraph"/>
              <w:spacing w:before="4"/>
              <w:jc w:val="left"/>
              <w:rPr>
                <w:sz w:val="21"/>
              </w:rPr>
            </w:pPr>
          </w:p>
          <w:p>
            <w:pPr>
              <w:pStyle w:val="TableParagraph"/>
              <w:spacing w:line="200" w:lineRule="atLeast" w:before="0"/>
              <w:ind w:left="267" w:right="224" w:firstLine="71"/>
              <w:jc w:val="left"/>
              <w:rPr>
                <w:b/>
                <w:sz w:val="16"/>
              </w:rPr>
            </w:pPr>
            <w:r>
              <w:rPr>
                <w:b/>
                <w:sz w:val="16"/>
              </w:rPr>
              <w:t>Traspaso Rtdos 2024</w:t>
            </w:r>
          </w:p>
        </w:tc>
        <w:tc>
          <w:tcPr>
            <w:tcW w:w="1270" w:type="dxa"/>
            <w:shd w:val="clear" w:color="auto" w:fill="D9D9D9"/>
          </w:tcPr>
          <w:p>
            <w:pPr>
              <w:pStyle w:val="TableParagraph"/>
              <w:spacing w:line="200" w:lineRule="atLeast" w:before="62"/>
              <w:ind w:left="119" w:right="102" w:hanging="1"/>
              <w:jc w:val="center"/>
              <w:rPr>
                <w:b/>
                <w:sz w:val="16"/>
              </w:rPr>
            </w:pPr>
            <w:r>
              <w:rPr>
                <w:b/>
                <w:sz w:val="16"/>
              </w:rPr>
              <w:t>Efecto impositivo traspaso a Rtdo</w:t>
            </w:r>
          </w:p>
        </w:tc>
        <w:tc>
          <w:tcPr>
            <w:tcW w:w="1263" w:type="dxa"/>
            <w:shd w:val="clear" w:color="auto" w:fill="D9D9D9"/>
          </w:tcPr>
          <w:p>
            <w:pPr>
              <w:pStyle w:val="TableParagraph"/>
              <w:spacing w:before="0"/>
              <w:jc w:val="left"/>
              <w:rPr>
                <w:sz w:val="16"/>
              </w:rPr>
            </w:pPr>
          </w:p>
          <w:p>
            <w:pPr>
              <w:pStyle w:val="TableParagraph"/>
              <w:spacing w:before="0"/>
              <w:jc w:val="left"/>
              <w:rPr>
                <w:sz w:val="22"/>
              </w:rPr>
            </w:pPr>
          </w:p>
          <w:p>
            <w:pPr>
              <w:pStyle w:val="TableParagraph"/>
              <w:spacing w:line="173" w:lineRule="exact" w:before="0"/>
              <w:ind w:left="240"/>
              <w:jc w:val="left"/>
              <w:rPr>
                <w:b/>
                <w:sz w:val="16"/>
              </w:rPr>
            </w:pPr>
            <w:r>
              <w:rPr>
                <w:b/>
                <w:sz w:val="16"/>
              </w:rPr>
              <w:t>31/12/2024</w:t>
            </w:r>
          </w:p>
        </w:tc>
      </w:tr>
    </w:tbl>
    <w:p>
      <w:pPr>
        <w:spacing w:after="0" w:line="173" w:lineRule="exact"/>
        <w:jc w:val="left"/>
        <w:rPr>
          <w:sz w:val="16"/>
        </w:rPr>
        <w:sectPr>
          <w:pgSz w:w="11920" w:h="16850"/>
          <w:pgMar w:header="735" w:footer="891" w:top="1600" w:bottom="1080" w:left="1300" w:right="1300"/>
        </w:sectPr>
      </w:pPr>
    </w:p>
    <w:p>
      <w:pPr>
        <w:pStyle w:val="BodyText"/>
        <w:spacing w:before="5"/>
        <w:rPr>
          <w:sz w:val="8"/>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7"/>
        <w:gridCol w:w="1263"/>
        <w:gridCol w:w="1270"/>
        <w:gridCol w:w="1262"/>
        <w:gridCol w:w="1263"/>
        <w:gridCol w:w="1270"/>
        <w:gridCol w:w="1263"/>
      </w:tblGrid>
      <w:tr>
        <w:trPr>
          <w:trHeight w:val="650" w:hRule="atLeast"/>
        </w:trPr>
        <w:tc>
          <w:tcPr>
            <w:tcW w:w="1057" w:type="dxa"/>
            <w:shd w:val="clear" w:color="auto" w:fill="D9D9D9"/>
          </w:tcPr>
          <w:p>
            <w:pPr>
              <w:pStyle w:val="TableParagraph"/>
              <w:spacing w:before="9"/>
              <w:jc w:val="left"/>
              <w:rPr>
                <w:sz w:val="20"/>
              </w:rPr>
            </w:pPr>
          </w:p>
          <w:p>
            <w:pPr>
              <w:pStyle w:val="TableParagraph"/>
              <w:spacing w:line="200" w:lineRule="atLeast" w:before="0"/>
              <w:ind w:left="200" w:right="126" w:hanging="57"/>
              <w:jc w:val="left"/>
              <w:rPr>
                <w:b/>
                <w:sz w:val="16"/>
              </w:rPr>
            </w:pPr>
            <w:r>
              <w:rPr>
                <w:b/>
                <w:sz w:val="16"/>
              </w:rPr>
              <w:t>Ejercicio de concesión</w:t>
            </w:r>
          </w:p>
        </w:tc>
        <w:tc>
          <w:tcPr>
            <w:tcW w:w="1263" w:type="dxa"/>
            <w:shd w:val="clear" w:color="auto" w:fill="D9D9D9"/>
          </w:tcPr>
          <w:p>
            <w:pPr>
              <w:pStyle w:val="TableParagraph"/>
              <w:spacing w:before="0"/>
              <w:jc w:val="left"/>
              <w:rPr>
                <w:sz w:val="16"/>
              </w:rPr>
            </w:pPr>
          </w:p>
          <w:p>
            <w:pPr>
              <w:pStyle w:val="TableParagraph"/>
              <w:spacing w:before="5"/>
              <w:jc w:val="left"/>
              <w:rPr>
                <w:sz w:val="21"/>
              </w:rPr>
            </w:pPr>
          </w:p>
          <w:p>
            <w:pPr>
              <w:pStyle w:val="TableParagraph"/>
              <w:spacing w:line="173" w:lineRule="exact" w:before="0"/>
              <w:ind w:left="237"/>
              <w:jc w:val="left"/>
              <w:rPr>
                <w:b/>
                <w:sz w:val="16"/>
              </w:rPr>
            </w:pPr>
            <w:r>
              <w:rPr>
                <w:b/>
                <w:sz w:val="16"/>
              </w:rPr>
              <w:t>31/12/2023</w:t>
            </w:r>
          </w:p>
        </w:tc>
        <w:tc>
          <w:tcPr>
            <w:tcW w:w="1270" w:type="dxa"/>
            <w:shd w:val="clear" w:color="auto" w:fill="D9D9D9"/>
          </w:tcPr>
          <w:p>
            <w:pPr>
              <w:pStyle w:val="TableParagraph"/>
              <w:spacing w:line="235" w:lineRule="auto" w:before="69"/>
              <w:ind w:left="294" w:right="273" w:hanging="6"/>
              <w:jc w:val="center"/>
              <w:rPr>
                <w:b/>
                <w:sz w:val="16"/>
              </w:rPr>
            </w:pPr>
            <w:r>
              <w:rPr>
                <w:b/>
                <w:sz w:val="16"/>
              </w:rPr>
              <w:t>Importe concedido</w:t>
            </w:r>
          </w:p>
          <w:p>
            <w:pPr>
              <w:pStyle w:val="TableParagraph"/>
              <w:spacing w:line="173" w:lineRule="exact" w:before="5"/>
              <w:ind w:left="96" w:right="82"/>
              <w:jc w:val="center"/>
              <w:rPr>
                <w:b/>
                <w:sz w:val="16"/>
              </w:rPr>
            </w:pPr>
            <w:r>
              <w:rPr>
                <w:b/>
                <w:sz w:val="16"/>
              </w:rPr>
              <w:t>2024</w:t>
            </w:r>
          </w:p>
        </w:tc>
        <w:tc>
          <w:tcPr>
            <w:tcW w:w="1262" w:type="dxa"/>
            <w:shd w:val="clear" w:color="auto" w:fill="D9D9D9"/>
          </w:tcPr>
          <w:p>
            <w:pPr>
              <w:pStyle w:val="TableParagraph"/>
              <w:spacing w:line="235" w:lineRule="auto" w:before="69"/>
              <w:ind w:left="98" w:right="90"/>
              <w:jc w:val="center"/>
              <w:rPr>
                <w:b/>
                <w:sz w:val="16"/>
              </w:rPr>
            </w:pPr>
            <w:r>
              <w:rPr>
                <w:b/>
                <w:sz w:val="16"/>
              </w:rPr>
              <w:t>Efecto impositivo</w:t>
            </w:r>
          </w:p>
          <w:p>
            <w:pPr>
              <w:pStyle w:val="TableParagraph"/>
              <w:spacing w:line="173" w:lineRule="exact" w:before="5"/>
              <w:ind w:left="98" w:right="91"/>
              <w:jc w:val="center"/>
              <w:rPr>
                <w:b/>
                <w:sz w:val="16"/>
              </w:rPr>
            </w:pPr>
            <w:r>
              <w:rPr>
                <w:b/>
                <w:sz w:val="16"/>
              </w:rPr>
              <w:t>concesión 2024</w:t>
            </w:r>
          </w:p>
        </w:tc>
        <w:tc>
          <w:tcPr>
            <w:tcW w:w="1263" w:type="dxa"/>
            <w:shd w:val="clear" w:color="auto" w:fill="D9D9D9"/>
          </w:tcPr>
          <w:p>
            <w:pPr>
              <w:pStyle w:val="TableParagraph"/>
              <w:spacing w:before="9"/>
              <w:jc w:val="left"/>
              <w:rPr>
                <w:sz w:val="20"/>
              </w:rPr>
            </w:pPr>
          </w:p>
          <w:p>
            <w:pPr>
              <w:pStyle w:val="TableParagraph"/>
              <w:spacing w:line="200" w:lineRule="atLeast" w:before="0"/>
              <w:ind w:left="267" w:right="224" w:firstLine="71"/>
              <w:jc w:val="left"/>
              <w:rPr>
                <w:b/>
                <w:sz w:val="16"/>
              </w:rPr>
            </w:pPr>
            <w:r>
              <w:rPr>
                <w:b/>
                <w:sz w:val="16"/>
              </w:rPr>
              <w:t>Traspaso Rtdos 2024</w:t>
            </w:r>
          </w:p>
        </w:tc>
        <w:tc>
          <w:tcPr>
            <w:tcW w:w="1270" w:type="dxa"/>
            <w:shd w:val="clear" w:color="auto" w:fill="D9D9D9"/>
          </w:tcPr>
          <w:p>
            <w:pPr>
              <w:pStyle w:val="TableParagraph"/>
              <w:spacing w:line="235" w:lineRule="auto" w:before="69"/>
              <w:ind w:left="100" w:right="82"/>
              <w:jc w:val="center"/>
              <w:rPr>
                <w:b/>
                <w:sz w:val="16"/>
              </w:rPr>
            </w:pPr>
            <w:r>
              <w:rPr>
                <w:b/>
                <w:sz w:val="16"/>
              </w:rPr>
              <w:t>Efecto impositivo</w:t>
            </w:r>
          </w:p>
          <w:p>
            <w:pPr>
              <w:pStyle w:val="TableParagraph"/>
              <w:spacing w:line="173" w:lineRule="exact" w:before="5"/>
              <w:ind w:left="98" w:right="82"/>
              <w:jc w:val="center"/>
              <w:rPr>
                <w:b/>
                <w:sz w:val="16"/>
              </w:rPr>
            </w:pPr>
            <w:r>
              <w:rPr>
                <w:b/>
                <w:sz w:val="16"/>
              </w:rPr>
              <w:t>traspaso a Rtdo</w:t>
            </w:r>
          </w:p>
        </w:tc>
        <w:tc>
          <w:tcPr>
            <w:tcW w:w="1263" w:type="dxa"/>
            <w:shd w:val="clear" w:color="auto" w:fill="D9D9D9"/>
          </w:tcPr>
          <w:p>
            <w:pPr>
              <w:pStyle w:val="TableParagraph"/>
              <w:spacing w:before="0"/>
              <w:jc w:val="left"/>
              <w:rPr>
                <w:sz w:val="16"/>
              </w:rPr>
            </w:pPr>
          </w:p>
          <w:p>
            <w:pPr>
              <w:pStyle w:val="TableParagraph"/>
              <w:spacing w:before="5"/>
              <w:jc w:val="left"/>
              <w:rPr>
                <w:sz w:val="21"/>
              </w:rPr>
            </w:pPr>
          </w:p>
          <w:p>
            <w:pPr>
              <w:pStyle w:val="TableParagraph"/>
              <w:spacing w:line="173" w:lineRule="exact" w:before="0"/>
              <w:ind w:left="240"/>
              <w:jc w:val="left"/>
              <w:rPr>
                <w:b/>
                <w:sz w:val="16"/>
              </w:rPr>
            </w:pPr>
            <w:r>
              <w:rPr>
                <w:b/>
                <w:sz w:val="16"/>
              </w:rPr>
              <w:t>31/12/2024</w:t>
            </w:r>
          </w:p>
        </w:tc>
      </w:tr>
      <w:tr>
        <w:trPr>
          <w:trHeight w:val="263" w:hRule="atLeast"/>
        </w:trPr>
        <w:tc>
          <w:tcPr>
            <w:tcW w:w="1057" w:type="dxa"/>
          </w:tcPr>
          <w:p>
            <w:pPr>
              <w:pStyle w:val="TableParagraph"/>
              <w:spacing w:before="35"/>
              <w:ind w:left="336" w:right="324"/>
              <w:jc w:val="center"/>
              <w:rPr>
                <w:sz w:val="16"/>
              </w:rPr>
            </w:pPr>
            <w:r>
              <w:rPr>
                <w:sz w:val="16"/>
              </w:rPr>
              <w:t>2022</w:t>
            </w:r>
          </w:p>
        </w:tc>
        <w:tc>
          <w:tcPr>
            <w:tcW w:w="1263" w:type="dxa"/>
          </w:tcPr>
          <w:p>
            <w:pPr>
              <w:pStyle w:val="TableParagraph"/>
              <w:spacing w:before="35"/>
              <w:ind w:right="52"/>
              <w:rPr>
                <w:sz w:val="16"/>
              </w:rPr>
            </w:pPr>
            <w:r>
              <w:rPr>
                <w:sz w:val="16"/>
              </w:rPr>
              <w:t>4.666,45</w:t>
            </w:r>
          </w:p>
        </w:tc>
        <w:tc>
          <w:tcPr>
            <w:tcW w:w="1270" w:type="dxa"/>
          </w:tcPr>
          <w:p>
            <w:pPr>
              <w:pStyle w:val="TableParagraph"/>
              <w:spacing w:before="35"/>
              <w:ind w:right="55"/>
              <w:rPr>
                <w:sz w:val="16"/>
              </w:rPr>
            </w:pPr>
            <w:r>
              <w:rPr>
                <w:w w:val="101"/>
                <w:sz w:val="16"/>
              </w:rPr>
              <w:t>-</w:t>
            </w:r>
          </w:p>
        </w:tc>
        <w:tc>
          <w:tcPr>
            <w:tcW w:w="1262" w:type="dxa"/>
          </w:tcPr>
          <w:p>
            <w:pPr>
              <w:pStyle w:val="TableParagraph"/>
              <w:spacing w:before="35"/>
              <w:ind w:right="53"/>
              <w:rPr>
                <w:sz w:val="16"/>
              </w:rPr>
            </w:pPr>
            <w:r>
              <w:rPr>
                <w:w w:val="101"/>
                <w:sz w:val="16"/>
              </w:rPr>
              <w:t>-</w:t>
            </w:r>
          </w:p>
        </w:tc>
        <w:tc>
          <w:tcPr>
            <w:tcW w:w="1263" w:type="dxa"/>
          </w:tcPr>
          <w:p>
            <w:pPr>
              <w:pStyle w:val="TableParagraph"/>
              <w:spacing w:before="35"/>
              <w:ind w:right="42"/>
              <w:rPr>
                <w:sz w:val="16"/>
              </w:rPr>
            </w:pPr>
            <w:r>
              <w:rPr>
                <w:sz w:val="16"/>
              </w:rPr>
              <w:t>1.860,34</w:t>
            </w:r>
          </w:p>
        </w:tc>
        <w:tc>
          <w:tcPr>
            <w:tcW w:w="1270" w:type="dxa"/>
          </w:tcPr>
          <w:p>
            <w:pPr>
              <w:pStyle w:val="TableParagraph"/>
              <w:spacing w:before="35"/>
              <w:ind w:right="46"/>
              <w:rPr>
                <w:sz w:val="16"/>
              </w:rPr>
            </w:pPr>
            <w:r>
              <w:rPr>
                <w:sz w:val="16"/>
              </w:rPr>
              <w:t>(465,08)</w:t>
            </w:r>
          </w:p>
        </w:tc>
        <w:tc>
          <w:tcPr>
            <w:tcW w:w="1263" w:type="dxa"/>
          </w:tcPr>
          <w:p>
            <w:pPr>
              <w:pStyle w:val="TableParagraph"/>
              <w:spacing w:before="35"/>
              <w:ind w:right="49"/>
              <w:rPr>
                <w:sz w:val="16"/>
              </w:rPr>
            </w:pPr>
            <w:r>
              <w:rPr>
                <w:sz w:val="16"/>
              </w:rPr>
              <w:t>3.271,19</w:t>
            </w:r>
          </w:p>
        </w:tc>
      </w:tr>
      <w:tr>
        <w:trPr>
          <w:trHeight w:val="274" w:hRule="atLeast"/>
        </w:trPr>
        <w:tc>
          <w:tcPr>
            <w:tcW w:w="1057" w:type="dxa"/>
          </w:tcPr>
          <w:p>
            <w:pPr>
              <w:pStyle w:val="TableParagraph"/>
              <w:ind w:left="336" w:right="324"/>
              <w:jc w:val="center"/>
              <w:rPr>
                <w:sz w:val="16"/>
              </w:rPr>
            </w:pPr>
            <w:r>
              <w:rPr>
                <w:sz w:val="16"/>
              </w:rPr>
              <w:t>2023</w:t>
            </w:r>
          </w:p>
        </w:tc>
        <w:tc>
          <w:tcPr>
            <w:tcW w:w="1263" w:type="dxa"/>
          </w:tcPr>
          <w:p>
            <w:pPr>
              <w:pStyle w:val="TableParagraph"/>
              <w:ind w:right="52"/>
              <w:rPr>
                <w:sz w:val="16"/>
              </w:rPr>
            </w:pPr>
            <w:r>
              <w:rPr>
                <w:sz w:val="16"/>
              </w:rPr>
              <w:t>4.781,19</w:t>
            </w:r>
          </w:p>
        </w:tc>
        <w:tc>
          <w:tcPr>
            <w:tcW w:w="1270" w:type="dxa"/>
          </w:tcPr>
          <w:p>
            <w:pPr>
              <w:pStyle w:val="TableParagraph"/>
              <w:ind w:right="55"/>
              <w:rPr>
                <w:sz w:val="16"/>
              </w:rPr>
            </w:pPr>
            <w:r>
              <w:rPr>
                <w:w w:val="101"/>
                <w:sz w:val="16"/>
              </w:rPr>
              <w:t>-</w:t>
            </w:r>
          </w:p>
        </w:tc>
        <w:tc>
          <w:tcPr>
            <w:tcW w:w="1262" w:type="dxa"/>
          </w:tcPr>
          <w:p>
            <w:pPr>
              <w:pStyle w:val="TableParagraph"/>
              <w:ind w:right="53"/>
              <w:rPr>
                <w:sz w:val="16"/>
              </w:rPr>
            </w:pPr>
            <w:r>
              <w:rPr>
                <w:w w:val="101"/>
                <w:sz w:val="16"/>
              </w:rPr>
              <w:t>-</w:t>
            </w:r>
          </w:p>
        </w:tc>
        <w:tc>
          <w:tcPr>
            <w:tcW w:w="1263" w:type="dxa"/>
          </w:tcPr>
          <w:p>
            <w:pPr>
              <w:pStyle w:val="TableParagraph"/>
              <w:ind w:right="42"/>
              <w:rPr>
                <w:sz w:val="16"/>
              </w:rPr>
            </w:pPr>
            <w:r>
              <w:rPr>
                <w:sz w:val="16"/>
              </w:rPr>
              <w:t>442,30</w:t>
            </w:r>
          </w:p>
        </w:tc>
        <w:tc>
          <w:tcPr>
            <w:tcW w:w="1270" w:type="dxa"/>
          </w:tcPr>
          <w:p>
            <w:pPr>
              <w:pStyle w:val="TableParagraph"/>
              <w:ind w:right="46"/>
              <w:rPr>
                <w:sz w:val="16"/>
              </w:rPr>
            </w:pPr>
            <w:r>
              <w:rPr>
                <w:sz w:val="16"/>
              </w:rPr>
              <w:t>(110,58)</w:t>
            </w:r>
          </w:p>
        </w:tc>
        <w:tc>
          <w:tcPr>
            <w:tcW w:w="1263" w:type="dxa"/>
          </w:tcPr>
          <w:p>
            <w:pPr>
              <w:pStyle w:val="TableParagraph"/>
              <w:ind w:right="49"/>
              <w:rPr>
                <w:sz w:val="16"/>
              </w:rPr>
            </w:pPr>
            <w:r>
              <w:rPr>
                <w:sz w:val="16"/>
              </w:rPr>
              <w:t>4.449,47</w:t>
            </w:r>
          </w:p>
        </w:tc>
      </w:tr>
      <w:tr>
        <w:trPr>
          <w:trHeight w:val="266" w:hRule="atLeast"/>
        </w:trPr>
        <w:tc>
          <w:tcPr>
            <w:tcW w:w="1057" w:type="dxa"/>
          </w:tcPr>
          <w:p>
            <w:pPr>
              <w:pStyle w:val="TableParagraph"/>
              <w:spacing w:before="38"/>
              <w:ind w:left="336" w:right="324"/>
              <w:jc w:val="center"/>
              <w:rPr>
                <w:sz w:val="16"/>
              </w:rPr>
            </w:pPr>
            <w:r>
              <w:rPr>
                <w:sz w:val="16"/>
              </w:rPr>
              <w:t>2024</w:t>
            </w:r>
          </w:p>
        </w:tc>
        <w:tc>
          <w:tcPr>
            <w:tcW w:w="1263" w:type="dxa"/>
          </w:tcPr>
          <w:p>
            <w:pPr>
              <w:pStyle w:val="TableParagraph"/>
              <w:spacing w:before="38"/>
              <w:ind w:right="55"/>
              <w:rPr>
                <w:sz w:val="16"/>
              </w:rPr>
            </w:pPr>
            <w:r>
              <w:rPr>
                <w:w w:val="101"/>
                <w:sz w:val="16"/>
              </w:rPr>
              <w:t>-</w:t>
            </w:r>
          </w:p>
        </w:tc>
        <w:tc>
          <w:tcPr>
            <w:tcW w:w="1270" w:type="dxa"/>
          </w:tcPr>
          <w:p>
            <w:pPr>
              <w:pStyle w:val="TableParagraph"/>
              <w:spacing w:before="38"/>
              <w:ind w:right="51"/>
              <w:rPr>
                <w:sz w:val="16"/>
              </w:rPr>
            </w:pPr>
            <w:r>
              <w:rPr>
                <w:sz w:val="16"/>
              </w:rPr>
              <w:t>35.310,00</w:t>
            </w:r>
          </w:p>
        </w:tc>
        <w:tc>
          <w:tcPr>
            <w:tcW w:w="1262" w:type="dxa"/>
          </w:tcPr>
          <w:p>
            <w:pPr>
              <w:pStyle w:val="TableParagraph"/>
              <w:spacing w:before="38"/>
              <w:ind w:right="48"/>
              <w:rPr>
                <w:sz w:val="16"/>
              </w:rPr>
            </w:pPr>
            <w:r>
              <w:rPr>
                <w:sz w:val="16"/>
              </w:rPr>
              <w:t>(8.827,50)</w:t>
            </w:r>
          </w:p>
        </w:tc>
        <w:tc>
          <w:tcPr>
            <w:tcW w:w="1263" w:type="dxa"/>
          </w:tcPr>
          <w:p>
            <w:pPr>
              <w:pStyle w:val="TableParagraph"/>
              <w:spacing w:before="38"/>
              <w:ind w:right="46"/>
              <w:rPr>
                <w:sz w:val="16"/>
              </w:rPr>
            </w:pPr>
            <w:r>
              <w:rPr>
                <w:w w:val="101"/>
                <w:sz w:val="16"/>
              </w:rPr>
              <w:t>-</w:t>
            </w:r>
          </w:p>
        </w:tc>
        <w:tc>
          <w:tcPr>
            <w:tcW w:w="1270" w:type="dxa"/>
          </w:tcPr>
          <w:p>
            <w:pPr>
              <w:pStyle w:val="TableParagraph"/>
              <w:spacing w:before="38"/>
              <w:ind w:right="52"/>
              <w:rPr>
                <w:sz w:val="16"/>
              </w:rPr>
            </w:pPr>
            <w:r>
              <w:rPr>
                <w:w w:val="101"/>
                <w:sz w:val="16"/>
              </w:rPr>
              <w:t>-</w:t>
            </w:r>
          </w:p>
        </w:tc>
        <w:tc>
          <w:tcPr>
            <w:tcW w:w="1263" w:type="dxa"/>
          </w:tcPr>
          <w:p>
            <w:pPr>
              <w:pStyle w:val="TableParagraph"/>
              <w:spacing w:before="38"/>
              <w:ind w:right="49"/>
              <w:rPr>
                <w:sz w:val="16"/>
              </w:rPr>
            </w:pPr>
            <w:r>
              <w:rPr>
                <w:sz w:val="16"/>
              </w:rPr>
              <w:t>26.482,50</w:t>
            </w:r>
          </w:p>
        </w:tc>
      </w:tr>
      <w:tr>
        <w:trPr>
          <w:trHeight w:val="273" w:hRule="atLeast"/>
        </w:trPr>
        <w:tc>
          <w:tcPr>
            <w:tcW w:w="1057" w:type="dxa"/>
            <w:shd w:val="clear" w:color="auto" w:fill="F1F1F1"/>
          </w:tcPr>
          <w:p>
            <w:pPr>
              <w:pStyle w:val="TableParagraph"/>
              <w:spacing w:before="37"/>
              <w:ind w:left="336" w:right="331"/>
              <w:jc w:val="center"/>
              <w:rPr>
                <w:b/>
                <w:sz w:val="16"/>
              </w:rPr>
            </w:pPr>
            <w:r>
              <w:rPr>
                <w:b/>
                <w:sz w:val="16"/>
              </w:rPr>
              <w:t>Total</w:t>
            </w:r>
          </w:p>
        </w:tc>
        <w:tc>
          <w:tcPr>
            <w:tcW w:w="1263" w:type="dxa"/>
            <w:shd w:val="clear" w:color="auto" w:fill="F1F1F1"/>
          </w:tcPr>
          <w:p>
            <w:pPr>
              <w:pStyle w:val="TableParagraph"/>
              <w:spacing w:before="37"/>
              <w:ind w:right="52"/>
              <w:rPr>
                <w:b/>
                <w:sz w:val="16"/>
              </w:rPr>
            </w:pPr>
            <w:r>
              <w:rPr>
                <w:b/>
                <w:sz w:val="16"/>
              </w:rPr>
              <w:t>9.447,64</w:t>
            </w:r>
          </w:p>
        </w:tc>
        <w:tc>
          <w:tcPr>
            <w:tcW w:w="1270" w:type="dxa"/>
            <w:shd w:val="clear" w:color="auto" w:fill="F1F1F1"/>
          </w:tcPr>
          <w:p>
            <w:pPr>
              <w:pStyle w:val="TableParagraph"/>
              <w:spacing w:before="37"/>
              <w:ind w:right="51"/>
              <w:rPr>
                <w:b/>
                <w:sz w:val="16"/>
              </w:rPr>
            </w:pPr>
            <w:r>
              <w:rPr>
                <w:b/>
                <w:sz w:val="16"/>
              </w:rPr>
              <w:t>35.310,00</w:t>
            </w:r>
          </w:p>
        </w:tc>
        <w:tc>
          <w:tcPr>
            <w:tcW w:w="1262" w:type="dxa"/>
            <w:shd w:val="clear" w:color="auto" w:fill="F1F1F1"/>
          </w:tcPr>
          <w:p>
            <w:pPr>
              <w:pStyle w:val="TableParagraph"/>
              <w:spacing w:before="37"/>
              <w:ind w:right="53"/>
              <w:rPr>
                <w:b/>
                <w:sz w:val="16"/>
              </w:rPr>
            </w:pPr>
            <w:r>
              <w:rPr>
                <w:b/>
                <w:sz w:val="16"/>
              </w:rPr>
              <w:t>(8.827,50)</w:t>
            </w:r>
          </w:p>
        </w:tc>
        <w:tc>
          <w:tcPr>
            <w:tcW w:w="1263" w:type="dxa"/>
            <w:shd w:val="clear" w:color="auto" w:fill="F1F1F1"/>
          </w:tcPr>
          <w:p>
            <w:pPr>
              <w:pStyle w:val="TableParagraph"/>
              <w:spacing w:before="37"/>
              <w:ind w:right="42"/>
              <w:rPr>
                <w:b/>
                <w:sz w:val="16"/>
              </w:rPr>
            </w:pPr>
            <w:r>
              <w:rPr>
                <w:b/>
                <w:sz w:val="16"/>
              </w:rPr>
              <w:t>2.302,64</w:t>
            </w:r>
          </w:p>
        </w:tc>
        <w:tc>
          <w:tcPr>
            <w:tcW w:w="1270" w:type="dxa"/>
            <w:shd w:val="clear" w:color="auto" w:fill="F1F1F1"/>
          </w:tcPr>
          <w:p>
            <w:pPr>
              <w:pStyle w:val="TableParagraph"/>
              <w:spacing w:before="37"/>
              <w:ind w:right="45"/>
              <w:rPr>
                <w:b/>
                <w:sz w:val="16"/>
              </w:rPr>
            </w:pPr>
            <w:r>
              <w:rPr>
                <w:b/>
                <w:sz w:val="16"/>
              </w:rPr>
              <w:t>(575,66)</w:t>
            </w:r>
          </w:p>
        </w:tc>
        <w:tc>
          <w:tcPr>
            <w:tcW w:w="1263" w:type="dxa"/>
            <w:shd w:val="clear" w:color="auto" w:fill="F1F1F1"/>
          </w:tcPr>
          <w:p>
            <w:pPr>
              <w:pStyle w:val="TableParagraph"/>
              <w:spacing w:before="37"/>
              <w:ind w:right="49"/>
              <w:rPr>
                <w:b/>
                <w:sz w:val="16"/>
              </w:rPr>
            </w:pPr>
            <w:r>
              <w:rPr>
                <w:b/>
                <w:sz w:val="16"/>
              </w:rPr>
              <w:t>34.203,16</w:t>
            </w:r>
          </w:p>
        </w:tc>
      </w:tr>
    </w:tbl>
    <w:p>
      <w:pPr>
        <w:pStyle w:val="BodyText"/>
        <w:rPr>
          <w:sz w:val="18"/>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9"/>
        <w:gridCol w:w="1165"/>
        <w:gridCol w:w="1300"/>
        <w:gridCol w:w="1016"/>
        <w:gridCol w:w="1044"/>
        <w:gridCol w:w="959"/>
        <w:gridCol w:w="1016"/>
        <w:gridCol w:w="1079"/>
      </w:tblGrid>
      <w:tr>
        <w:trPr>
          <w:trHeight w:val="784" w:hRule="atLeast"/>
        </w:trPr>
        <w:tc>
          <w:tcPr>
            <w:tcW w:w="1079" w:type="dxa"/>
            <w:shd w:val="clear" w:color="auto" w:fill="D9D9D9"/>
          </w:tcPr>
          <w:p>
            <w:pPr>
              <w:pStyle w:val="TableParagraph"/>
              <w:spacing w:before="0"/>
              <w:jc w:val="left"/>
              <w:rPr>
                <w:sz w:val="16"/>
              </w:rPr>
            </w:pPr>
          </w:p>
          <w:p>
            <w:pPr>
              <w:pStyle w:val="TableParagraph"/>
              <w:spacing w:before="9"/>
              <w:jc w:val="left"/>
              <w:rPr>
                <w:sz w:val="15"/>
              </w:rPr>
            </w:pPr>
          </w:p>
          <w:p>
            <w:pPr>
              <w:pStyle w:val="TableParagraph"/>
              <w:spacing w:line="200" w:lineRule="atLeast" w:before="1"/>
              <w:ind w:left="207" w:right="134" w:hanging="50"/>
              <w:jc w:val="left"/>
              <w:rPr>
                <w:b/>
                <w:sz w:val="16"/>
              </w:rPr>
            </w:pPr>
            <w:r>
              <w:rPr>
                <w:b/>
                <w:sz w:val="16"/>
              </w:rPr>
              <w:t>Ejercicio de concesión</w:t>
            </w:r>
          </w:p>
        </w:tc>
        <w:tc>
          <w:tcPr>
            <w:tcW w:w="1165" w:type="dxa"/>
            <w:shd w:val="clear" w:color="auto" w:fill="D9D9D9"/>
          </w:tcPr>
          <w:p>
            <w:pPr>
              <w:pStyle w:val="TableParagraph"/>
              <w:spacing w:before="0"/>
              <w:jc w:val="left"/>
              <w:rPr>
                <w:sz w:val="16"/>
              </w:rPr>
            </w:pPr>
          </w:p>
          <w:p>
            <w:pPr>
              <w:pStyle w:val="TableParagraph"/>
              <w:spacing w:before="0"/>
              <w:jc w:val="left"/>
              <w:rPr>
                <w:sz w:val="16"/>
              </w:rPr>
            </w:pPr>
          </w:p>
          <w:p>
            <w:pPr>
              <w:pStyle w:val="TableParagraph"/>
              <w:spacing w:before="5"/>
              <w:jc w:val="left"/>
              <w:rPr>
                <w:sz w:val="16"/>
              </w:rPr>
            </w:pPr>
          </w:p>
          <w:p>
            <w:pPr>
              <w:pStyle w:val="TableParagraph"/>
              <w:spacing w:line="173" w:lineRule="exact" w:before="0"/>
              <w:ind w:left="186"/>
              <w:jc w:val="left"/>
              <w:rPr>
                <w:b/>
                <w:sz w:val="16"/>
              </w:rPr>
            </w:pPr>
            <w:r>
              <w:rPr>
                <w:b/>
                <w:sz w:val="16"/>
              </w:rPr>
              <w:t>31/12/2022</w:t>
            </w:r>
          </w:p>
        </w:tc>
        <w:tc>
          <w:tcPr>
            <w:tcW w:w="1300" w:type="dxa"/>
            <w:shd w:val="clear" w:color="auto" w:fill="D9D9D9"/>
          </w:tcPr>
          <w:p>
            <w:pPr>
              <w:pStyle w:val="TableParagraph"/>
              <w:spacing w:before="2"/>
              <w:ind w:left="72" w:right="51"/>
              <w:jc w:val="center"/>
              <w:rPr>
                <w:b/>
                <w:sz w:val="16"/>
              </w:rPr>
            </w:pPr>
            <w:r>
              <w:rPr>
                <w:b/>
                <w:sz w:val="16"/>
              </w:rPr>
              <w:t>Efecto impositivo concesión ejercicios</w:t>
            </w:r>
          </w:p>
          <w:p>
            <w:pPr>
              <w:pStyle w:val="TableParagraph"/>
              <w:spacing w:line="173" w:lineRule="exact" w:before="3"/>
              <w:ind w:left="62" w:right="51"/>
              <w:jc w:val="center"/>
              <w:rPr>
                <w:b/>
                <w:sz w:val="16"/>
              </w:rPr>
            </w:pPr>
            <w:r>
              <w:rPr>
                <w:b/>
                <w:sz w:val="16"/>
              </w:rPr>
              <w:t>anteriores</w:t>
            </w:r>
          </w:p>
        </w:tc>
        <w:tc>
          <w:tcPr>
            <w:tcW w:w="1016" w:type="dxa"/>
            <w:shd w:val="clear" w:color="auto" w:fill="D9D9D9"/>
          </w:tcPr>
          <w:p>
            <w:pPr>
              <w:pStyle w:val="TableParagraph"/>
              <w:spacing w:before="9"/>
              <w:jc w:val="left"/>
              <w:rPr>
                <w:sz w:val="16"/>
              </w:rPr>
            </w:pPr>
          </w:p>
          <w:p>
            <w:pPr>
              <w:pStyle w:val="TableParagraph"/>
              <w:spacing w:line="235" w:lineRule="auto" w:before="0"/>
              <w:ind w:left="163" w:right="150" w:hanging="6"/>
              <w:jc w:val="center"/>
              <w:rPr>
                <w:b/>
                <w:sz w:val="16"/>
              </w:rPr>
            </w:pPr>
            <w:r>
              <w:rPr>
                <w:b/>
                <w:sz w:val="16"/>
              </w:rPr>
              <w:t>Importe concedido</w:t>
            </w:r>
          </w:p>
          <w:p>
            <w:pPr>
              <w:pStyle w:val="TableParagraph"/>
              <w:spacing w:line="173" w:lineRule="exact" w:before="4"/>
              <w:ind w:left="146" w:right="141"/>
              <w:jc w:val="center"/>
              <w:rPr>
                <w:b/>
                <w:sz w:val="16"/>
              </w:rPr>
            </w:pPr>
            <w:r>
              <w:rPr>
                <w:b/>
                <w:sz w:val="16"/>
              </w:rPr>
              <w:t>2023</w:t>
            </w:r>
          </w:p>
        </w:tc>
        <w:tc>
          <w:tcPr>
            <w:tcW w:w="1044" w:type="dxa"/>
            <w:shd w:val="clear" w:color="auto" w:fill="D9D9D9"/>
          </w:tcPr>
          <w:p>
            <w:pPr>
              <w:pStyle w:val="TableParagraph"/>
              <w:spacing w:before="2"/>
              <w:ind w:left="162" w:right="158"/>
              <w:jc w:val="center"/>
              <w:rPr>
                <w:b/>
                <w:sz w:val="16"/>
              </w:rPr>
            </w:pPr>
            <w:r>
              <w:rPr>
                <w:b/>
                <w:sz w:val="16"/>
              </w:rPr>
              <w:t>Efecto impositivo concesión</w:t>
            </w:r>
          </w:p>
          <w:p>
            <w:pPr>
              <w:pStyle w:val="TableParagraph"/>
              <w:spacing w:line="173" w:lineRule="exact" w:before="3"/>
              <w:ind w:left="161" w:right="158"/>
              <w:jc w:val="center"/>
              <w:rPr>
                <w:b/>
                <w:sz w:val="16"/>
              </w:rPr>
            </w:pPr>
            <w:r>
              <w:rPr>
                <w:b/>
                <w:sz w:val="16"/>
              </w:rPr>
              <w:t>2023</w:t>
            </w:r>
          </w:p>
        </w:tc>
        <w:tc>
          <w:tcPr>
            <w:tcW w:w="959" w:type="dxa"/>
            <w:shd w:val="clear" w:color="auto" w:fill="D9D9D9"/>
          </w:tcPr>
          <w:p>
            <w:pPr>
              <w:pStyle w:val="TableParagraph"/>
              <w:spacing w:before="0"/>
              <w:jc w:val="left"/>
              <w:rPr>
                <w:sz w:val="16"/>
              </w:rPr>
            </w:pPr>
          </w:p>
          <w:p>
            <w:pPr>
              <w:pStyle w:val="TableParagraph"/>
              <w:spacing w:before="9"/>
              <w:jc w:val="left"/>
              <w:rPr>
                <w:sz w:val="15"/>
              </w:rPr>
            </w:pPr>
          </w:p>
          <w:p>
            <w:pPr>
              <w:pStyle w:val="TableParagraph"/>
              <w:spacing w:line="200" w:lineRule="atLeast" w:before="1"/>
              <w:ind w:left="97" w:right="90" w:firstLine="78"/>
              <w:jc w:val="left"/>
              <w:rPr>
                <w:b/>
                <w:sz w:val="16"/>
              </w:rPr>
            </w:pPr>
            <w:r>
              <w:rPr>
                <w:b/>
                <w:sz w:val="16"/>
              </w:rPr>
              <w:t>Traspaso Rtdos 2023</w:t>
            </w:r>
          </w:p>
        </w:tc>
        <w:tc>
          <w:tcPr>
            <w:tcW w:w="1016" w:type="dxa"/>
            <w:shd w:val="clear" w:color="auto" w:fill="D9D9D9"/>
          </w:tcPr>
          <w:p>
            <w:pPr>
              <w:pStyle w:val="TableParagraph"/>
              <w:spacing w:before="2"/>
              <w:ind w:left="146" w:right="145"/>
              <w:jc w:val="center"/>
              <w:rPr>
                <w:b/>
                <w:sz w:val="16"/>
              </w:rPr>
            </w:pPr>
            <w:r>
              <w:rPr>
                <w:b/>
                <w:sz w:val="16"/>
              </w:rPr>
              <w:t>Efecto impositivo traspaso a</w:t>
            </w:r>
          </w:p>
          <w:p>
            <w:pPr>
              <w:pStyle w:val="TableParagraph"/>
              <w:spacing w:line="173" w:lineRule="exact" w:before="3"/>
              <w:ind w:left="146" w:right="140"/>
              <w:jc w:val="center"/>
              <w:rPr>
                <w:b/>
                <w:sz w:val="16"/>
              </w:rPr>
            </w:pPr>
            <w:r>
              <w:rPr>
                <w:b/>
                <w:sz w:val="16"/>
              </w:rPr>
              <w:t>Rtdo</w:t>
            </w:r>
          </w:p>
        </w:tc>
        <w:tc>
          <w:tcPr>
            <w:tcW w:w="1079" w:type="dxa"/>
            <w:shd w:val="clear" w:color="auto" w:fill="D9D9D9"/>
          </w:tcPr>
          <w:p>
            <w:pPr>
              <w:pStyle w:val="TableParagraph"/>
              <w:spacing w:before="0"/>
              <w:jc w:val="left"/>
              <w:rPr>
                <w:sz w:val="16"/>
              </w:rPr>
            </w:pPr>
          </w:p>
          <w:p>
            <w:pPr>
              <w:pStyle w:val="TableParagraph"/>
              <w:spacing w:before="0"/>
              <w:jc w:val="left"/>
              <w:rPr>
                <w:sz w:val="16"/>
              </w:rPr>
            </w:pPr>
          </w:p>
          <w:p>
            <w:pPr>
              <w:pStyle w:val="TableParagraph"/>
              <w:spacing w:before="5"/>
              <w:jc w:val="left"/>
              <w:rPr>
                <w:sz w:val="16"/>
              </w:rPr>
            </w:pPr>
          </w:p>
          <w:p>
            <w:pPr>
              <w:pStyle w:val="TableParagraph"/>
              <w:spacing w:line="173" w:lineRule="exact" w:before="0"/>
              <w:ind w:left="138"/>
              <w:jc w:val="left"/>
              <w:rPr>
                <w:b/>
                <w:sz w:val="16"/>
              </w:rPr>
            </w:pPr>
            <w:r>
              <w:rPr>
                <w:b/>
                <w:sz w:val="16"/>
              </w:rPr>
              <w:t>31/12/2023</w:t>
            </w:r>
          </w:p>
        </w:tc>
      </w:tr>
      <w:tr>
        <w:trPr>
          <w:trHeight w:val="263" w:hRule="atLeast"/>
        </w:trPr>
        <w:tc>
          <w:tcPr>
            <w:tcW w:w="1079" w:type="dxa"/>
          </w:tcPr>
          <w:p>
            <w:pPr>
              <w:pStyle w:val="TableParagraph"/>
              <w:spacing w:before="34"/>
              <w:ind w:left="350" w:right="332"/>
              <w:jc w:val="center"/>
              <w:rPr>
                <w:sz w:val="16"/>
              </w:rPr>
            </w:pPr>
            <w:r>
              <w:rPr>
                <w:sz w:val="16"/>
              </w:rPr>
              <w:t>2022</w:t>
            </w:r>
          </w:p>
        </w:tc>
        <w:tc>
          <w:tcPr>
            <w:tcW w:w="1165" w:type="dxa"/>
          </w:tcPr>
          <w:p>
            <w:pPr>
              <w:pStyle w:val="TableParagraph"/>
              <w:spacing w:before="34"/>
              <w:ind w:right="54"/>
              <w:rPr>
                <w:sz w:val="16"/>
              </w:rPr>
            </w:pPr>
            <w:r>
              <w:rPr>
                <w:sz w:val="16"/>
              </w:rPr>
              <w:t>9.322,50</w:t>
            </w:r>
          </w:p>
        </w:tc>
        <w:tc>
          <w:tcPr>
            <w:tcW w:w="1300" w:type="dxa"/>
          </w:tcPr>
          <w:p>
            <w:pPr>
              <w:pStyle w:val="TableParagraph"/>
              <w:spacing w:before="34"/>
              <w:ind w:right="53"/>
              <w:rPr>
                <w:sz w:val="16"/>
              </w:rPr>
            </w:pPr>
            <w:r>
              <w:rPr>
                <w:sz w:val="16"/>
              </w:rPr>
              <w:t>(2.330,63)</w:t>
            </w:r>
          </w:p>
        </w:tc>
        <w:tc>
          <w:tcPr>
            <w:tcW w:w="1016" w:type="dxa"/>
          </w:tcPr>
          <w:p>
            <w:pPr>
              <w:pStyle w:val="TableParagraph"/>
              <w:spacing w:before="34"/>
              <w:ind w:right="59"/>
              <w:rPr>
                <w:sz w:val="16"/>
              </w:rPr>
            </w:pPr>
            <w:r>
              <w:rPr>
                <w:w w:val="101"/>
                <w:sz w:val="16"/>
              </w:rPr>
              <w:t>-</w:t>
            </w:r>
          </w:p>
        </w:tc>
        <w:tc>
          <w:tcPr>
            <w:tcW w:w="1044" w:type="dxa"/>
          </w:tcPr>
          <w:p>
            <w:pPr>
              <w:pStyle w:val="TableParagraph"/>
              <w:spacing w:before="34"/>
              <w:ind w:right="60"/>
              <w:rPr>
                <w:sz w:val="16"/>
              </w:rPr>
            </w:pPr>
            <w:r>
              <w:rPr>
                <w:w w:val="101"/>
                <w:sz w:val="16"/>
              </w:rPr>
              <w:t>-</w:t>
            </w:r>
          </w:p>
        </w:tc>
        <w:tc>
          <w:tcPr>
            <w:tcW w:w="959" w:type="dxa"/>
          </w:tcPr>
          <w:p>
            <w:pPr>
              <w:pStyle w:val="TableParagraph"/>
              <w:spacing w:before="34"/>
              <w:ind w:right="57"/>
              <w:rPr>
                <w:sz w:val="16"/>
              </w:rPr>
            </w:pPr>
            <w:r>
              <w:rPr>
                <w:sz w:val="16"/>
              </w:rPr>
              <w:t>1.860,34</w:t>
            </w:r>
          </w:p>
        </w:tc>
        <w:tc>
          <w:tcPr>
            <w:tcW w:w="1016" w:type="dxa"/>
          </w:tcPr>
          <w:p>
            <w:pPr>
              <w:pStyle w:val="TableParagraph"/>
              <w:spacing w:before="34"/>
              <w:ind w:right="58"/>
              <w:rPr>
                <w:sz w:val="16"/>
              </w:rPr>
            </w:pPr>
            <w:r>
              <w:rPr>
                <w:sz w:val="16"/>
              </w:rPr>
              <w:t>465,08</w:t>
            </w:r>
          </w:p>
        </w:tc>
        <w:tc>
          <w:tcPr>
            <w:tcW w:w="1079" w:type="dxa"/>
          </w:tcPr>
          <w:p>
            <w:pPr>
              <w:pStyle w:val="TableParagraph"/>
              <w:spacing w:before="34"/>
              <w:ind w:right="59"/>
              <w:rPr>
                <w:sz w:val="16"/>
              </w:rPr>
            </w:pPr>
            <w:r>
              <w:rPr>
                <w:sz w:val="16"/>
              </w:rPr>
              <w:t>4.666,45</w:t>
            </w:r>
          </w:p>
        </w:tc>
      </w:tr>
      <w:tr>
        <w:trPr>
          <w:trHeight w:val="273" w:hRule="atLeast"/>
        </w:trPr>
        <w:tc>
          <w:tcPr>
            <w:tcW w:w="1079" w:type="dxa"/>
          </w:tcPr>
          <w:p>
            <w:pPr>
              <w:pStyle w:val="TableParagraph"/>
              <w:spacing w:before="38"/>
              <w:ind w:left="350" w:right="332"/>
              <w:jc w:val="center"/>
              <w:rPr>
                <w:sz w:val="16"/>
              </w:rPr>
            </w:pPr>
            <w:r>
              <w:rPr>
                <w:sz w:val="16"/>
              </w:rPr>
              <w:t>2023</w:t>
            </w:r>
          </w:p>
        </w:tc>
        <w:tc>
          <w:tcPr>
            <w:tcW w:w="1165" w:type="dxa"/>
          </w:tcPr>
          <w:p>
            <w:pPr>
              <w:pStyle w:val="TableParagraph"/>
              <w:spacing w:before="38"/>
              <w:ind w:right="57"/>
              <w:rPr>
                <w:sz w:val="16"/>
              </w:rPr>
            </w:pPr>
            <w:r>
              <w:rPr>
                <w:w w:val="101"/>
                <w:sz w:val="16"/>
              </w:rPr>
              <w:t>-</w:t>
            </w:r>
          </w:p>
        </w:tc>
        <w:tc>
          <w:tcPr>
            <w:tcW w:w="1300" w:type="dxa"/>
          </w:tcPr>
          <w:p>
            <w:pPr>
              <w:pStyle w:val="TableParagraph"/>
              <w:spacing w:before="38"/>
              <w:ind w:right="59"/>
              <w:rPr>
                <w:sz w:val="16"/>
              </w:rPr>
            </w:pPr>
            <w:r>
              <w:rPr>
                <w:w w:val="101"/>
                <w:sz w:val="16"/>
              </w:rPr>
              <w:t>-</w:t>
            </w:r>
          </w:p>
        </w:tc>
        <w:tc>
          <w:tcPr>
            <w:tcW w:w="1016" w:type="dxa"/>
          </w:tcPr>
          <w:p>
            <w:pPr>
              <w:pStyle w:val="TableParagraph"/>
              <w:spacing w:before="38"/>
              <w:ind w:right="56"/>
              <w:rPr>
                <w:sz w:val="16"/>
              </w:rPr>
            </w:pPr>
            <w:r>
              <w:rPr>
                <w:sz w:val="16"/>
              </w:rPr>
              <w:t>7.000,00</w:t>
            </w:r>
          </w:p>
        </w:tc>
        <w:tc>
          <w:tcPr>
            <w:tcW w:w="1044" w:type="dxa"/>
          </w:tcPr>
          <w:p>
            <w:pPr>
              <w:pStyle w:val="TableParagraph"/>
              <w:spacing w:before="38"/>
              <w:ind w:right="55"/>
              <w:rPr>
                <w:sz w:val="16"/>
              </w:rPr>
            </w:pPr>
            <w:r>
              <w:rPr>
                <w:sz w:val="16"/>
              </w:rPr>
              <w:t>(1.750,00)</w:t>
            </w:r>
          </w:p>
        </w:tc>
        <w:tc>
          <w:tcPr>
            <w:tcW w:w="959" w:type="dxa"/>
          </w:tcPr>
          <w:p>
            <w:pPr>
              <w:pStyle w:val="TableParagraph"/>
              <w:spacing w:before="38"/>
              <w:ind w:right="57"/>
              <w:rPr>
                <w:sz w:val="16"/>
              </w:rPr>
            </w:pPr>
            <w:r>
              <w:rPr>
                <w:sz w:val="16"/>
              </w:rPr>
              <w:t>375,05</w:t>
            </w:r>
          </w:p>
        </w:tc>
        <w:tc>
          <w:tcPr>
            <w:tcW w:w="1016" w:type="dxa"/>
          </w:tcPr>
          <w:p>
            <w:pPr>
              <w:pStyle w:val="TableParagraph"/>
              <w:spacing w:before="38"/>
              <w:ind w:right="58"/>
              <w:rPr>
                <w:sz w:val="16"/>
              </w:rPr>
            </w:pPr>
            <w:r>
              <w:rPr>
                <w:sz w:val="16"/>
              </w:rPr>
              <w:t>93,76</w:t>
            </w:r>
          </w:p>
        </w:tc>
        <w:tc>
          <w:tcPr>
            <w:tcW w:w="1079" w:type="dxa"/>
          </w:tcPr>
          <w:p>
            <w:pPr>
              <w:pStyle w:val="TableParagraph"/>
              <w:spacing w:before="38"/>
              <w:ind w:right="59"/>
              <w:rPr>
                <w:sz w:val="16"/>
              </w:rPr>
            </w:pPr>
            <w:r>
              <w:rPr>
                <w:sz w:val="16"/>
              </w:rPr>
              <w:t>4.781,19</w:t>
            </w:r>
          </w:p>
        </w:tc>
      </w:tr>
      <w:tr>
        <w:trPr>
          <w:trHeight w:val="267" w:hRule="atLeast"/>
        </w:trPr>
        <w:tc>
          <w:tcPr>
            <w:tcW w:w="1079" w:type="dxa"/>
            <w:shd w:val="clear" w:color="auto" w:fill="F1F1F1"/>
          </w:tcPr>
          <w:p>
            <w:pPr>
              <w:pStyle w:val="TableParagraph"/>
              <w:spacing w:before="38"/>
              <w:ind w:left="350" w:right="339"/>
              <w:jc w:val="center"/>
              <w:rPr>
                <w:b/>
                <w:sz w:val="16"/>
              </w:rPr>
            </w:pPr>
            <w:r>
              <w:rPr>
                <w:b/>
                <w:sz w:val="16"/>
              </w:rPr>
              <w:t>Total</w:t>
            </w:r>
          </w:p>
        </w:tc>
        <w:tc>
          <w:tcPr>
            <w:tcW w:w="1165" w:type="dxa"/>
            <w:shd w:val="clear" w:color="auto" w:fill="F1F1F1"/>
          </w:tcPr>
          <w:p>
            <w:pPr>
              <w:pStyle w:val="TableParagraph"/>
              <w:spacing w:before="38"/>
              <w:ind w:right="54"/>
              <w:rPr>
                <w:b/>
                <w:sz w:val="16"/>
              </w:rPr>
            </w:pPr>
            <w:r>
              <w:rPr>
                <w:b/>
                <w:sz w:val="16"/>
              </w:rPr>
              <w:t>9.322,50</w:t>
            </w:r>
          </w:p>
        </w:tc>
        <w:tc>
          <w:tcPr>
            <w:tcW w:w="1300" w:type="dxa"/>
            <w:shd w:val="clear" w:color="auto" w:fill="F1F1F1"/>
          </w:tcPr>
          <w:p>
            <w:pPr>
              <w:pStyle w:val="TableParagraph"/>
              <w:spacing w:before="38"/>
              <w:ind w:right="58"/>
              <w:rPr>
                <w:b/>
                <w:sz w:val="16"/>
              </w:rPr>
            </w:pPr>
            <w:r>
              <w:rPr>
                <w:b/>
                <w:sz w:val="16"/>
              </w:rPr>
              <w:t>(2.330,63)</w:t>
            </w:r>
          </w:p>
        </w:tc>
        <w:tc>
          <w:tcPr>
            <w:tcW w:w="1016" w:type="dxa"/>
            <w:shd w:val="clear" w:color="auto" w:fill="F1F1F1"/>
          </w:tcPr>
          <w:p>
            <w:pPr>
              <w:pStyle w:val="TableParagraph"/>
              <w:spacing w:before="38"/>
              <w:ind w:right="56"/>
              <w:rPr>
                <w:b/>
                <w:sz w:val="16"/>
              </w:rPr>
            </w:pPr>
            <w:r>
              <w:rPr>
                <w:b/>
                <w:sz w:val="16"/>
              </w:rPr>
              <w:t>7.000,00</w:t>
            </w:r>
          </w:p>
        </w:tc>
        <w:tc>
          <w:tcPr>
            <w:tcW w:w="1044" w:type="dxa"/>
            <w:shd w:val="clear" w:color="auto" w:fill="F1F1F1"/>
          </w:tcPr>
          <w:p>
            <w:pPr>
              <w:pStyle w:val="TableParagraph"/>
              <w:spacing w:before="38"/>
              <w:ind w:right="60"/>
              <w:rPr>
                <w:b/>
                <w:sz w:val="16"/>
              </w:rPr>
            </w:pPr>
            <w:r>
              <w:rPr>
                <w:b/>
                <w:sz w:val="16"/>
              </w:rPr>
              <w:t>(1.750,00)</w:t>
            </w:r>
          </w:p>
        </w:tc>
        <w:tc>
          <w:tcPr>
            <w:tcW w:w="959" w:type="dxa"/>
            <w:shd w:val="clear" w:color="auto" w:fill="F1F1F1"/>
          </w:tcPr>
          <w:p>
            <w:pPr>
              <w:pStyle w:val="TableParagraph"/>
              <w:spacing w:before="38"/>
              <w:ind w:right="57"/>
              <w:rPr>
                <w:b/>
                <w:sz w:val="16"/>
              </w:rPr>
            </w:pPr>
            <w:r>
              <w:rPr>
                <w:b/>
                <w:sz w:val="16"/>
              </w:rPr>
              <w:t>2.235,39</w:t>
            </w:r>
          </w:p>
        </w:tc>
        <w:tc>
          <w:tcPr>
            <w:tcW w:w="1016" w:type="dxa"/>
            <w:shd w:val="clear" w:color="auto" w:fill="F1F1F1"/>
          </w:tcPr>
          <w:p>
            <w:pPr>
              <w:pStyle w:val="TableParagraph"/>
              <w:spacing w:before="38"/>
              <w:ind w:right="58"/>
              <w:rPr>
                <w:b/>
                <w:sz w:val="16"/>
              </w:rPr>
            </w:pPr>
            <w:r>
              <w:rPr>
                <w:b/>
                <w:sz w:val="16"/>
              </w:rPr>
              <w:t>558,84</w:t>
            </w:r>
          </w:p>
        </w:tc>
        <w:tc>
          <w:tcPr>
            <w:tcW w:w="1079" w:type="dxa"/>
            <w:shd w:val="clear" w:color="auto" w:fill="F1F1F1"/>
          </w:tcPr>
          <w:p>
            <w:pPr>
              <w:pStyle w:val="TableParagraph"/>
              <w:spacing w:before="38"/>
              <w:ind w:right="58"/>
              <w:rPr>
                <w:b/>
                <w:sz w:val="16"/>
              </w:rPr>
            </w:pPr>
            <w:r>
              <w:rPr>
                <w:b/>
                <w:sz w:val="16"/>
              </w:rPr>
              <w:t>9.447,64</w:t>
            </w:r>
          </w:p>
        </w:tc>
      </w:tr>
    </w:tbl>
    <w:p>
      <w:pPr>
        <w:pStyle w:val="BodyText"/>
        <w:spacing w:before="6"/>
      </w:pPr>
    </w:p>
    <w:p>
      <w:pPr>
        <w:spacing w:before="71"/>
        <w:ind w:left="403" w:right="0" w:firstLine="0"/>
        <w:jc w:val="left"/>
        <w:rPr>
          <w:b/>
          <w:i/>
          <w:sz w:val="17"/>
        </w:rPr>
      </w:pPr>
      <w:r>
        <w:rPr>
          <w:b/>
          <w:i/>
          <w:w w:val="105"/>
          <w:sz w:val="17"/>
          <w:u w:val="single"/>
        </w:rPr>
        <w:t>Subvenciones de explotación</w:t>
      </w:r>
    </w:p>
    <w:p>
      <w:pPr>
        <w:pStyle w:val="BodyText"/>
        <w:spacing w:before="2"/>
        <w:rPr>
          <w:b/>
          <w:i/>
          <w:sz w:val="9"/>
        </w:rPr>
      </w:pPr>
    </w:p>
    <w:p>
      <w:pPr>
        <w:pStyle w:val="BodyText"/>
        <w:spacing w:line="304" w:lineRule="auto" w:before="71"/>
        <w:ind w:left="403" w:right="437"/>
        <w:jc w:val="both"/>
      </w:pPr>
      <w:r>
        <w:rPr>
          <w:w w:val="105"/>
        </w:rPr>
        <w:t>La Sociedad ha recibido subvenciones destinadas a financiar los gastos corrientes de las actividades que le son propias. El detalle de dichas transferencias es el siguiente:</w:t>
      </w:r>
    </w:p>
    <w:p>
      <w:pPr>
        <w:pStyle w:val="BodyText"/>
        <w:rPr>
          <w:sz w:val="5"/>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9"/>
        <w:gridCol w:w="1533"/>
        <w:gridCol w:w="1540"/>
      </w:tblGrid>
      <w:tr>
        <w:trPr>
          <w:trHeight w:val="280" w:hRule="atLeast"/>
        </w:trPr>
        <w:tc>
          <w:tcPr>
            <w:tcW w:w="5579" w:type="dxa"/>
            <w:shd w:val="clear" w:color="auto" w:fill="D9D9D9"/>
          </w:tcPr>
          <w:p>
            <w:pPr>
              <w:pStyle w:val="TableParagraph"/>
              <w:spacing w:before="0"/>
              <w:jc w:val="left"/>
              <w:rPr>
                <w:rFonts w:ascii="Times New Roman"/>
                <w:sz w:val="16"/>
              </w:rPr>
            </w:pPr>
          </w:p>
        </w:tc>
        <w:tc>
          <w:tcPr>
            <w:tcW w:w="1533" w:type="dxa"/>
            <w:shd w:val="clear" w:color="auto" w:fill="D9D9D9"/>
          </w:tcPr>
          <w:p>
            <w:pPr>
              <w:pStyle w:val="TableParagraph"/>
              <w:spacing w:line="173" w:lineRule="exact" w:before="87"/>
              <w:ind w:left="257"/>
              <w:jc w:val="left"/>
              <w:rPr>
                <w:b/>
                <w:sz w:val="16"/>
              </w:rPr>
            </w:pPr>
            <w:r>
              <w:rPr>
                <w:b/>
                <w:sz w:val="16"/>
              </w:rPr>
              <w:t>EJERCICIO 2024</w:t>
            </w:r>
          </w:p>
        </w:tc>
        <w:tc>
          <w:tcPr>
            <w:tcW w:w="1540" w:type="dxa"/>
            <w:shd w:val="clear" w:color="auto" w:fill="D9D9D9"/>
          </w:tcPr>
          <w:p>
            <w:pPr>
              <w:pStyle w:val="TableParagraph"/>
              <w:spacing w:line="173" w:lineRule="exact" w:before="87"/>
              <w:ind w:left="257"/>
              <w:jc w:val="left"/>
              <w:rPr>
                <w:b/>
                <w:sz w:val="16"/>
              </w:rPr>
            </w:pPr>
            <w:r>
              <w:rPr>
                <w:b/>
                <w:sz w:val="16"/>
              </w:rPr>
              <w:t>EJERCICIO 2023</w:t>
            </w:r>
          </w:p>
        </w:tc>
      </w:tr>
      <w:tr>
        <w:trPr>
          <w:trHeight w:val="288" w:hRule="atLeast"/>
        </w:trPr>
        <w:tc>
          <w:tcPr>
            <w:tcW w:w="5579" w:type="dxa"/>
          </w:tcPr>
          <w:p>
            <w:pPr>
              <w:pStyle w:val="TableParagraph"/>
              <w:spacing w:before="52"/>
              <w:ind w:left="73"/>
              <w:jc w:val="left"/>
              <w:rPr>
                <w:sz w:val="16"/>
              </w:rPr>
            </w:pPr>
            <w:r>
              <w:rPr>
                <w:sz w:val="16"/>
              </w:rPr>
              <w:t>Excmo. Ayuntamiento de Los Realejos (Nota 9)</w:t>
            </w:r>
          </w:p>
        </w:tc>
        <w:tc>
          <w:tcPr>
            <w:tcW w:w="1533" w:type="dxa"/>
          </w:tcPr>
          <w:p>
            <w:pPr>
              <w:pStyle w:val="TableParagraph"/>
              <w:spacing w:before="52"/>
              <w:ind w:left="740"/>
              <w:jc w:val="left"/>
              <w:rPr>
                <w:sz w:val="16"/>
              </w:rPr>
            </w:pPr>
            <w:r>
              <w:rPr>
                <w:sz w:val="16"/>
              </w:rPr>
              <w:t>250.941,28</w:t>
            </w:r>
          </w:p>
        </w:tc>
        <w:tc>
          <w:tcPr>
            <w:tcW w:w="1540" w:type="dxa"/>
          </w:tcPr>
          <w:p>
            <w:pPr>
              <w:pStyle w:val="TableParagraph"/>
              <w:spacing w:before="52"/>
              <w:ind w:left="740"/>
              <w:jc w:val="left"/>
              <w:rPr>
                <w:sz w:val="16"/>
              </w:rPr>
            </w:pPr>
            <w:r>
              <w:rPr>
                <w:sz w:val="16"/>
              </w:rPr>
              <w:t>274.429,08</w:t>
            </w:r>
          </w:p>
        </w:tc>
      </w:tr>
    </w:tbl>
    <w:p>
      <w:pPr>
        <w:pStyle w:val="BodyText"/>
        <w:spacing w:before="4"/>
        <w:rPr>
          <w:sz w:val="23"/>
        </w:rPr>
      </w:pPr>
    </w:p>
    <w:p>
      <w:pPr>
        <w:pStyle w:val="BodyText"/>
        <w:spacing w:line="312" w:lineRule="auto" w:before="1"/>
        <w:ind w:left="403" w:right="438"/>
        <w:jc w:val="both"/>
      </w:pPr>
      <w:r>
        <w:rPr>
          <w:w w:val="105"/>
        </w:rPr>
        <w:t>La Sociedad viene cumpliendo los requisitos legales exigidos para la obtención y mantenimiento de tales subvenciones, donaciones y</w:t>
      </w:r>
      <w:r>
        <w:rPr>
          <w:spacing w:val="2"/>
          <w:w w:val="105"/>
        </w:rPr>
        <w:t> </w:t>
      </w:r>
      <w:r>
        <w:rPr>
          <w:w w:val="105"/>
        </w:rPr>
        <w:t>legados.</w:t>
      </w:r>
    </w:p>
    <w:p>
      <w:pPr>
        <w:pStyle w:val="Heading3"/>
        <w:numPr>
          <w:ilvl w:val="0"/>
          <w:numId w:val="9"/>
        </w:numPr>
        <w:tabs>
          <w:tab w:pos="588" w:val="left" w:leader="none"/>
        </w:tabs>
        <w:spacing w:line="240" w:lineRule="auto" w:before="105" w:after="0"/>
        <w:ind w:left="587" w:right="0" w:hanging="185"/>
        <w:jc w:val="left"/>
      </w:pPr>
      <w:r>
        <w:rPr>
          <w:w w:val="105"/>
        </w:rPr>
        <w:t>Distribución del resultado</w:t>
      </w:r>
    </w:p>
    <w:p>
      <w:pPr>
        <w:pStyle w:val="BodyText"/>
        <w:spacing w:before="10"/>
        <w:rPr>
          <w:b/>
          <w:sz w:val="13"/>
        </w:rPr>
      </w:pPr>
    </w:p>
    <w:p>
      <w:pPr>
        <w:pStyle w:val="BodyText"/>
        <w:spacing w:line="304" w:lineRule="auto"/>
        <w:ind w:left="403" w:right="446"/>
        <w:jc w:val="both"/>
      </w:pPr>
      <w:r>
        <w:rPr>
          <w:w w:val="105"/>
        </w:rPr>
        <w:t>La propuesta de aplicación del resultado del ejercicio 2024 y 2023 formulada por el órgano de administración es la siguiente:</w:t>
      </w:r>
    </w:p>
    <w:p>
      <w:pPr>
        <w:pStyle w:val="BodyText"/>
        <w:spacing w:before="5"/>
        <w:rPr>
          <w:sz w:val="5"/>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53"/>
        <w:gridCol w:w="1803"/>
        <w:gridCol w:w="1795"/>
      </w:tblGrid>
      <w:tr>
        <w:trPr>
          <w:trHeight w:val="282" w:hRule="atLeast"/>
        </w:trPr>
        <w:tc>
          <w:tcPr>
            <w:tcW w:w="5053" w:type="dxa"/>
            <w:shd w:val="clear" w:color="auto" w:fill="D9D9D9"/>
          </w:tcPr>
          <w:p>
            <w:pPr>
              <w:pStyle w:val="TableParagraph"/>
              <w:spacing w:line="173" w:lineRule="exact" w:before="87"/>
              <w:ind w:left="1986" w:right="1963"/>
              <w:jc w:val="center"/>
              <w:rPr>
                <w:b/>
                <w:sz w:val="16"/>
              </w:rPr>
            </w:pPr>
            <w:r>
              <w:rPr>
                <w:b/>
                <w:sz w:val="16"/>
              </w:rPr>
              <w:t>Base de reparto</w:t>
            </w:r>
          </w:p>
        </w:tc>
        <w:tc>
          <w:tcPr>
            <w:tcW w:w="1803" w:type="dxa"/>
            <w:shd w:val="clear" w:color="auto" w:fill="D9D9D9"/>
          </w:tcPr>
          <w:p>
            <w:pPr>
              <w:pStyle w:val="TableParagraph"/>
              <w:spacing w:line="173" w:lineRule="exact" w:before="87"/>
              <w:ind w:left="442"/>
              <w:jc w:val="left"/>
              <w:rPr>
                <w:b/>
                <w:sz w:val="16"/>
              </w:rPr>
            </w:pPr>
            <w:r>
              <w:rPr>
                <w:b/>
                <w:sz w:val="16"/>
              </w:rPr>
              <w:t>Ejercicio 2024</w:t>
            </w:r>
          </w:p>
        </w:tc>
        <w:tc>
          <w:tcPr>
            <w:tcW w:w="1795" w:type="dxa"/>
            <w:shd w:val="clear" w:color="auto" w:fill="D9D9D9"/>
          </w:tcPr>
          <w:p>
            <w:pPr>
              <w:pStyle w:val="TableParagraph"/>
              <w:spacing w:line="173" w:lineRule="exact" w:before="87"/>
              <w:ind w:left="435"/>
              <w:jc w:val="left"/>
              <w:rPr>
                <w:b/>
                <w:sz w:val="16"/>
              </w:rPr>
            </w:pPr>
            <w:r>
              <w:rPr>
                <w:b/>
                <w:sz w:val="16"/>
              </w:rPr>
              <w:t>Ejercicio 2023</w:t>
            </w:r>
          </w:p>
        </w:tc>
      </w:tr>
      <w:tr>
        <w:trPr>
          <w:trHeight w:val="287" w:hRule="atLeast"/>
        </w:trPr>
        <w:tc>
          <w:tcPr>
            <w:tcW w:w="5053" w:type="dxa"/>
          </w:tcPr>
          <w:p>
            <w:pPr>
              <w:pStyle w:val="TableParagraph"/>
              <w:ind w:left="73"/>
              <w:jc w:val="left"/>
              <w:rPr>
                <w:sz w:val="16"/>
              </w:rPr>
            </w:pPr>
            <w:r>
              <w:rPr>
                <w:sz w:val="16"/>
              </w:rPr>
              <w:t>Saldo de la cuenta de pérdidas y ganancias</w:t>
            </w:r>
          </w:p>
        </w:tc>
        <w:tc>
          <w:tcPr>
            <w:tcW w:w="1803" w:type="dxa"/>
          </w:tcPr>
          <w:p>
            <w:pPr>
              <w:pStyle w:val="TableParagraph"/>
              <w:ind w:right="56"/>
              <w:rPr>
                <w:sz w:val="16"/>
              </w:rPr>
            </w:pPr>
            <w:r>
              <w:rPr>
                <w:sz w:val="16"/>
              </w:rPr>
              <w:t>(29.637,35)</w:t>
            </w:r>
          </w:p>
        </w:tc>
        <w:tc>
          <w:tcPr>
            <w:tcW w:w="1795" w:type="dxa"/>
          </w:tcPr>
          <w:p>
            <w:pPr>
              <w:pStyle w:val="TableParagraph"/>
              <w:ind w:right="59"/>
              <w:rPr>
                <w:sz w:val="16"/>
              </w:rPr>
            </w:pPr>
            <w:r>
              <w:rPr>
                <w:sz w:val="16"/>
              </w:rPr>
              <w:t>9.321,35</w:t>
            </w:r>
          </w:p>
        </w:tc>
      </w:tr>
      <w:tr>
        <w:trPr>
          <w:trHeight w:val="281" w:hRule="atLeast"/>
        </w:trPr>
        <w:tc>
          <w:tcPr>
            <w:tcW w:w="5053" w:type="dxa"/>
          </w:tcPr>
          <w:p>
            <w:pPr>
              <w:pStyle w:val="TableParagraph"/>
              <w:ind w:left="73"/>
              <w:jc w:val="left"/>
              <w:rPr>
                <w:b/>
                <w:sz w:val="16"/>
              </w:rPr>
            </w:pPr>
            <w:r>
              <w:rPr>
                <w:b/>
                <w:sz w:val="16"/>
              </w:rPr>
              <w:t>Total</w:t>
            </w:r>
          </w:p>
        </w:tc>
        <w:tc>
          <w:tcPr>
            <w:tcW w:w="1803" w:type="dxa"/>
          </w:tcPr>
          <w:p>
            <w:pPr>
              <w:pStyle w:val="TableParagraph"/>
              <w:ind w:right="54"/>
              <w:rPr>
                <w:b/>
                <w:sz w:val="16"/>
              </w:rPr>
            </w:pPr>
            <w:r>
              <w:rPr>
                <w:b/>
                <w:sz w:val="16"/>
              </w:rPr>
              <w:t>(29.637,35)</w:t>
            </w:r>
          </w:p>
        </w:tc>
        <w:tc>
          <w:tcPr>
            <w:tcW w:w="1795" w:type="dxa"/>
          </w:tcPr>
          <w:p>
            <w:pPr>
              <w:pStyle w:val="TableParagraph"/>
              <w:ind w:right="58"/>
              <w:rPr>
                <w:b/>
                <w:sz w:val="16"/>
              </w:rPr>
            </w:pPr>
            <w:r>
              <w:rPr>
                <w:b/>
                <w:sz w:val="16"/>
              </w:rPr>
              <w:t>9.321,35</w:t>
            </w:r>
          </w:p>
        </w:tc>
      </w:tr>
      <w:tr>
        <w:trPr>
          <w:trHeight w:val="280" w:hRule="atLeast"/>
        </w:trPr>
        <w:tc>
          <w:tcPr>
            <w:tcW w:w="8651" w:type="dxa"/>
            <w:gridSpan w:val="3"/>
            <w:tcBorders>
              <w:left w:val="nil"/>
              <w:right w:val="nil"/>
            </w:tcBorders>
          </w:tcPr>
          <w:p>
            <w:pPr>
              <w:pStyle w:val="TableParagraph"/>
              <w:spacing w:before="0"/>
              <w:jc w:val="left"/>
              <w:rPr>
                <w:rFonts w:ascii="Times New Roman"/>
                <w:sz w:val="16"/>
              </w:rPr>
            </w:pPr>
          </w:p>
        </w:tc>
      </w:tr>
      <w:tr>
        <w:trPr>
          <w:trHeight w:val="280" w:hRule="atLeast"/>
        </w:trPr>
        <w:tc>
          <w:tcPr>
            <w:tcW w:w="5053" w:type="dxa"/>
            <w:shd w:val="clear" w:color="auto" w:fill="D9D9D9"/>
          </w:tcPr>
          <w:p>
            <w:pPr>
              <w:pStyle w:val="TableParagraph"/>
              <w:spacing w:line="173" w:lineRule="exact" w:before="87"/>
              <w:ind w:left="1986" w:right="1963"/>
              <w:jc w:val="center"/>
              <w:rPr>
                <w:b/>
                <w:sz w:val="16"/>
              </w:rPr>
            </w:pPr>
            <w:r>
              <w:rPr>
                <w:b/>
                <w:sz w:val="16"/>
              </w:rPr>
              <w:t>Aplicación</w:t>
            </w:r>
          </w:p>
        </w:tc>
        <w:tc>
          <w:tcPr>
            <w:tcW w:w="1803" w:type="dxa"/>
            <w:shd w:val="clear" w:color="auto" w:fill="D9D9D9"/>
          </w:tcPr>
          <w:p>
            <w:pPr>
              <w:pStyle w:val="TableParagraph"/>
              <w:spacing w:line="173" w:lineRule="exact" w:before="87"/>
              <w:ind w:left="442"/>
              <w:jc w:val="left"/>
              <w:rPr>
                <w:b/>
                <w:sz w:val="16"/>
              </w:rPr>
            </w:pPr>
            <w:r>
              <w:rPr>
                <w:b/>
                <w:sz w:val="16"/>
              </w:rPr>
              <w:t>Ejercicio 2024</w:t>
            </w:r>
          </w:p>
        </w:tc>
        <w:tc>
          <w:tcPr>
            <w:tcW w:w="1795" w:type="dxa"/>
            <w:shd w:val="clear" w:color="auto" w:fill="D9D9D9"/>
          </w:tcPr>
          <w:p>
            <w:pPr>
              <w:pStyle w:val="TableParagraph"/>
              <w:spacing w:line="173" w:lineRule="exact" w:before="87"/>
              <w:ind w:left="435"/>
              <w:jc w:val="left"/>
              <w:rPr>
                <w:b/>
                <w:sz w:val="16"/>
              </w:rPr>
            </w:pPr>
            <w:r>
              <w:rPr>
                <w:b/>
                <w:sz w:val="16"/>
              </w:rPr>
              <w:t>Ejercicio 2023</w:t>
            </w:r>
          </w:p>
        </w:tc>
      </w:tr>
      <w:tr>
        <w:trPr>
          <w:trHeight w:val="287" w:hRule="atLeast"/>
        </w:trPr>
        <w:tc>
          <w:tcPr>
            <w:tcW w:w="5053" w:type="dxa"/>
          </w:tcPr>
          <w:p>
            <w:pPr>
              <w:pStyle w:val="TableParagraph"/>
              <w:spacing w:before="52"/>
              <w:ind w:left="73"/>
              <w:jc w:val="left"/>
              <w:rPr>
                <w:sz w:val="16"/>
              </w:rPr>
            </w:pPr>
            <w:r>
              <w:rPr>
                <w:sz w:val="16"/>
              </w:rPr>
              <w:t>A compensación de pérdidas de ejercicios anteriores</w:t>
            </w:r>
          </w:p>
        </w:tc>
        <w:tc>
          <w:tcPr>
            <w:tcW w:w="1803" w:type="dxa"/>
          </w:tcPr>
          <w:p>
            <w:pPr>
              <w:pStyle w:val="TableParagraph"/>
              <w:spacing w:before="52"/>
              <w:ind w:right="63"/>
              <w:rPr>
                <w:sz w:val="16"/>
              </w:rPr>
            </w:pPr>
            <w:r>
              <w:rPr>
                <w:w w:val="101"/>
                <w:sz w:val="16"/>
              </w:rPr>
              <w:t>-</w:t>
            </w:r>
          </w:p>
        </w:tc>
        <w:tc>
          <w:tcPr>
            <w:tcW w:w="1795" w:type="dxa"/>
          </w:tcPr>
          <w:p>
            <w:pPr>
              <w:pStyle w:val="TableParagraph"/>
              <w:spacing w:before="52"/>
              <w:ind w:right="59"/>
              <w:rPr>
                <w:sz w:val="16"/>
              </w:rPr>
            </w:pPr>
            <w:r>
              <w:rPr>
                <w:sz w:val="16"/>
              </w:rPr>
              <w:t>9.321,35</w:t>
            </w:r>
          </w:p>
        </w:tc>
      </w:tr>
      <w:tr>
        <w:trPr>
          <w:trHeight w:val="281" w:hRule="atLeast"/>
        </w:trPr>
        <w:tc>
          <w:tcPr>
            <w:tcW w:w="5053" w:type="dxa"/>
          </w:tcPr>
          <w:p>
            <w:pPr>
              <w:pStyle w:val="TableParagraph"/>
              <w:ind w:left="73"/>
              <w:jc w:val="left"/>
              <w:rPr>
                <w:sz w:val="16"/>
              </w:rPr>
            </w:pPr>
            <w:r>
              <w:rPr>
                <w:sz w:val="16"/>
              </w:rPr>
              <w:t>A Resultados negativos del ejercicio</w:t>
            </w:r>
          </w:p>
        </w:tc>
        <w:tc>
          <w:tcPr>
            <w:tcW w:w="1803" w:type="dxa"/>
          </w:tcPr>
          <w:p>
            <w:pPr>
              <w:pStyle w:val="TableParagraph"/>
              <w:ind w:right="57"/>
              <w:rPr>
                <w:sz w:val="16"/>
              </w:rPr>
            </w:pPr>
            <w:r>
              <w:rPr>
                <w:sz w:val="16"/>
              </w:rPr>
              <w:t>(29.637,35)</w:t>
            </w:r>
          </w:p>
        </w:tc>
        <w:tc>
          <w:tcPr>
            <w:tcW w:w="1795" w:type="dxa"/>
          </w:tcPr>
          <w:p>
            <w:pPr>
              <w:pStyle w:val="TableParagraph"/>
              <w:ind w:right="62"/>
              <w:rPr>
                <w:b/>
                <w:sz w:val="16"/>
              </w:rPr>
            </w:pPr>
            <w:r>
              <w:rPr>
                <w:b/>
                <w:w w:val="101"/>
                <w:sz w:val="16"/>
              </w:rPr>
              <w:t>-</w:t>
            </w:r>
          </w:p>
        </w:tc>
      </w:tr>
      <w:tr>
        <w:trPr>
          <w:trHeight w:val="287" w:hRule="atLeast"/>
        </w:trPr>
        <w:tc>
          <w:tcPr>
            <w:tcW w:w="5053" w:type="dxa"/>
          </w:tcPr>
          <w:p>
            <w:pPr>
              <w:pStyle w:val="TableParagraph"/>
              <w:ind w:left="73"/>
              <w:jc w:val="left"/>
              <w:rPr>
                <w:b/>
                <w:sz w:val="16"/>
              </w:rPr>
            </w:pPr>
            <w:r>
              <w:rPr>
                <w:b/>
                <w:sz w:val="16"/>
              </w:rPr>
              <w:t>Total</w:t>
            </w:r>
          </w:p>
        </w:tc>
        <w:tc>
          <w:tcPr>
            <w:tcW w:w="1803" w:type="dxa"/>
          </w:tcPr>
          <w:p>
            <w:pPr>
              <w:pStyle w:val="TableParagraph"/>
              <w:ind w:right="56"/>
              <w:rPr>
                <w:b/>
                <w:sz w:val="16"/>
              </w:rPr>
            </w:pPr>
            <w:r>
              <w:rPr>
                <w:b/>
                <w:sz w:val="16"/>
              </w:rPr>
              <w:t>(29.637,35)</w:t>
            </w:r>
          </w:p>
        </w:tc>
        <w:tc>
          <w:tcPr>
            <w:tcW w:w="1795" w:type="dxa"/>
          </w:tcPr>
          <w:p>
            <w:pPr>
              <w:pStyle w:val="TableParagraph"/>
              <w:ind w:right="58"/>
              <w:rPr>
                <w:b/>
                <w:sz w:val="16"/>
              </w:rPr>
            </w:pPr>
            <w:r>
              <w:rPr>
                <w:b/>
                <w:sz w:val="16"/>
              </w:rPr>
              <w:t>9.321,35</w:t>
            </w:r>
          </w:p>
        </w:tc>
      </w:tr>
    </w:tbl>
    <w:p>
      <w:pPr>
        <w:pStyle w:val="BodyText"/>
        <w:spacing w:before="6"/>
        <w:rPr>
          <w:sz w:val="13"/>
        </w:rPr>
      </w:pPr>
    </w:p>
    <w:p>
      <w:pPr>
        <w:pStyle w:val="BodyText"/>
        <w:ind w:left="403"/>
        <w:jc w:val="both"/>
      </w:pPr>
      <w:r>
        <w:rPr>
          <w:w w:val="105"/>
        </w:rPr>
        <w:t>Durante el ejercicio no se repartieron dividendos.</w:t>
      </w:r>
    </w:p>
    <w:p>
      <w:pPr>
        <w:pStyle w:val="BodyText"/>
        <w:rPr>
          <w:sz w:val="20"/>
        </w:rPr>
      </w:pPr>
    </w:p>
    <w:p>
      <w:pPr>
        <w:pStyle w:val="Heading1"/>
        <w:numPr>
          <w:ilvl w:val="0"/>
          <w:numId w:val="1"/>
        </w:numPr>
        <w:tabs>
          <w:tab w:pos="971" w:val="left" w:leader="none"/>
          <w:tab w:pos="972" w:val="left" w:leader="none"/>
        </w:tabs>
        <w:spacing w:line="240" w:lineRule="auto" w:before="0" w:after="0"/>
        <w:ind w:left="971" w:right="0" w:hanging="569"/>
        <w:jc w:val="left"/>
      </w:pPr>
      <w:r>
        <w:rPr/>
        <w:t>Hechos posteriores al</w:t>
      </w:r>
      <w:r>
        <w:rPr>
          <w:spacing w:val="8"/>
        </w:rPr>
        <w:t> </w:t>
      </w:r>
      <w:r>
        <w:rPr/>
        <w:t>cierre.</w:t>
      </w:r>
    </w:p>
    <w:p>
      <w:pPr>
        <w:pStyle w:val="BodyText"/>
        <w:spacing w:line="302" w:lineRule="auto" w:before="157"/>
        <w:ind w:left="403" w:right="405"/>
        <w:jc w:val="both"/>
      </w:pPr>
      <w:r>
        <w:rPr>
          <w:w w:val="105"/>
        </w:rPr>
        <w:t>Entre el 31 de diciembre de 2024, fecha de cierre del ejercicio y la fecha de formulación de las Cuentas Anuales abreviadas, no se han producido hechos o acontecimientos importantes cuyo conocimiento pudiera ser de interés para los usuarios de esta información financiera.</w:t>
      </w:r>
    </w:p>
    <w:p>
      <w:pPr>
        <w:spacing w:after="0" w:line="302" w:lineRule="auto"/>
        <w:jc w:val="both"/>
        <w:sectPr>
          <w:pgSz w:w="11920" w:h="16850"/>
          <w:pgMar w:header="735" w:footer="891" w:top="1600" w:bottom="1080" w:left="1300" w:right="1300"/>
        </w:sectPr>
      </w:pPr>
    </w:p>
    <w:p>
      <w:pPr>
        <w:pStyle w:val="BodyText"/>
        <w:spacing w:before="5"/>
        <w:rPr>
          <w:sz w:val="29"/>
        </w:rPr>
      </w:pPr>
    </w:p>
    <w:p>
      <w:pPr>
        <w:pStyle w:val="Heading3"/>
        <w:spacing w:before="71"/>
        <w:ind w:left="1929" w:right="1928"/>
        <w:jc w:val="center"/>
      </w:pPr>
      <w:r>
        <w:rPr>
          <w:w w:val="105"/>
          <w:u w:val="single"/>
        </w:rPr>
        <w:t>FORMULACIÓN DE CUENTAS ANUALES ABREVIADAS DEL EJERCICIO 2024</w:t>
      </w:r>
    </w:p>
    <w:p>
      <w:pPr>
        <w:pStyle w:val="BodyText"/>
        <w:spacing w:before="4"/>
        <w:rPr>
          <w:b/>
          <w:sz w:val="21"/>
        </w:rPr>
      </w:pPr>
    </w:p>
    <w:p>
      <w:pPr>
        <w:pStyle w:val="BodyText"/>
        <w:spacing w:line="304" w:lineRule="auto" w:before="72"/>
        <w:ind w:left="403" w:right="402"/>
        <w:jc w:val="both"/>
      </w:pPr>
      <w:r>
        <w:rPr>
          <w:w w:val="105"/>
        </w:rPr>
        <w:t>En cumplimiento de la normativa mercantil vigente, los administradores de </w:t>
      </w:r>
      <w:r>
        <w:rPr>
          <w:b/>
          <w:w w:val="105"/>
        </w:rPr>
        <w:t>MEDIOS DE COMUNICACIÓN MUNICIPALES DE LOS REALEJOS, S.L.U. </w:t>
      </w:r>
      <w:r>
        <w:rPr>
          <w:w w:val="105"/>
        </w:rPr>
        <w:t>formula las Cuentas Anuales Abreviadas correspondientes al ejercicio anual terminado el 31 de diciembre de 2024 que se componen de las adjuntas hojas número 1 a 24.</w:t>
      </w:r>
    </w:p>
    <w:p>
      <w:pPr>
        <w:pStyle w:val="BodyText"/>
        <w:rPr>
          <w:sz w:val="18"/>
        </w:rPr>
      </w:pPr>
    </w:p>
    <w:p>
      <w:pPr>
        <w:pStyle w:val="BodyText"/>
        <w:rPr>
          <w:sz w:val="18"/>
        </w:rPr>
      </w:pPr>
    </w:p>
    <w:p>
      <w:pPr>
        <w:pStyle w:val="BodyText"/>
        <w:spacing w:before="7"/>
        <w:rPr>
          <w:sz w:val="19"/>
        </w:rPr>
      </w:pPr>
    </w:p>
    <w:p>
      <w:pPr>
        <w:pStyle w:val="Heading3"/>
        <w:ind w:left="957"/>
      </w:pPr>
      <w:r>
        <w:rPr>
          <w:w w:val="105"/>
        </w:rPr>
        <w:t>FIRMA DE LOS MIEMBROS DEL CONSEJO DE ADMINISTRACIÓN.</w:t>
      </w:r>
    </w:p>
    <w:p>
      <w:pPr>
        <w:pStyle w:val="BodyText"/>
        <w:spacing w:before="3"/>
        <w:rPr>
          <w:b/>
          <w:sz w:val="24"/>
        </w:rPr>
      </w:pPr>
    </w:p>
    <w:p>
      <w:pPr>
        <w:pStyle w:val="BodyText"/>
        <w:ind w:left="957"/>
      </w:pPr>
      <w:r>
        <w:rPr>
          <w:w w:val="105"/>
        </w:rPr>
        <w:t>Presidente:</w:t>
      </w:r>
    </w:p>
    <w:p>
      <w:pPr>
        <w:pStyle w:val="BodyText"/>
        <w:tabs>
          <w:tab w:pos="5506" w:val="left" w:leader="none"/>
        </w:tabs>
        <w:spacing w:before="133"/>
        <w:ind w:left="957"/>
      </w:pPr>
      <w:r>
        <w:rPr>
          <w:w w:val="105"/>
        </w:rPr>
        <w:t>DON ADOLFO</w:t>
      </w:r>
      <w:r>
        <w:rPr>
          <w:spacing w:val="5"/>
          <w:w w:val="105"/>
        </w:rPr>
        <w:t> </w:t>
      </w:r>
      <w:r>
        <w:rPr>
          <w:w w:val="105"/>
        </w:rPr>
        <w:t>GONZALEZ</w:t>
      </w:r>
      <w:r>
        <w:rPr>
          <w:spacing w:val="3"/>
          <w:w w:val="105"/>
        </w:rPr>
        <w:t> </w:t>
      </w:r>
      <w:r>
        <w:rPr>
          <w:w w:val="105"/>
        </w:rPr>
        <w:t>PEREZ-SIVERIO</w:t>
        <w:tab/>
        <w:t>-------------------------------------------------------------</w:t>
      </w:r>
    </w:p>
    <w:p>
      <w:pPr>
        <w:pStyle w:val="BodyText"/>
        <w:rPr>
          <w:sz w:val="18"/>
        </w:rPr>
      </w:pPr>
    </w:p>
    <w:p>
      <w:pPr>
        <w:pStyle w:val="BodyText"/>
        <w:rPr>
          <w:sz w:val="18"/>
        </w:rPr>
      </w:pPr>
    </w:p>
    <w:p>
      <w:pPr>
        <w:pStyle w:val="BodyText"/>
        <w:rPr>
          <w:sz w:val="18"/>
        </w:rPr>
      </w:pPr>
    </w:p>
    <w:p>
      <w:pPr>
        <w:pStyle w:val="BodyText"/>
        <w:spacing w:before="148"/>
        <w:ind w:left="957"/>
      </w:pPr>
      <w:r>
        <w:rPr>
          <w:w w:val="105"/>
        </w:rPr>
        <w:t>Vicepresidente:</w:t>
      </w:r>
    </w:p>
    <w:p>
      <w:pPr>
        <w:pStyle w:val="BodyText"/>
        <w:tabs>
          <w:tab w:pos="5421" w:val="left" w:leader="none"/>
        </w:tabs>
        <w:spacing w:before="134"/>
        <w:ind w:left="957"/>
      </w:pPr>
      <w:r>
        <w:rPr>
          <w:w w:val="105"/>
        </w:rPr>
        <w:t>DON JOSE BENITO DEVORA</w:t>
      </w:r>
      <w:r>
        <w:rPr>
          <w:spacing w:val="4"/>
          <w:w w:val="105"/>
        </w:rPr>
        <w:t> </w:t>
      </w:r>
      <w:r>
        <w:rPr>
          <w:w w:val="105"/>
        </w:rPr>
        <w:t>HERNANDEZ</w:t>
        <w:tab/>
        <w:t>---------------------------------------------------------------</w:t>
      </w:r>
    </w:p>
    <w:p>
      <w:pPr>
        <w:pStyle w:val="BodyText"/>
        <w:rPr>
          <w:sz w:val="18"/>
        </w:rPr>
      </w:pPr>
    </w:p>
    <w:p>
      <w:pPr>
        <w:pStyle w:val="BodyText"/>
        <w:rPr>
          <w:sz w:val="18"/>
        </w:rPr>
      </w:pPr>
    </w:p>
    <w:p>
      <w:pPr>
        <w:pStyle w:val="BodyText"/>
        <w:rPr>
          <w:sz w:val="18"/>
        </w:rPr>
      </w:pPr>
    </w:p>
    <w:p>
      <w:pPr>
        <w:pStyle w:val="BodyText"/>
        <w:spacing w:before="155"/>
        <w:ind w:left="957"/>
      </w:pPr>
      <w:r>
        <w:rPr>
          <w:w w:val="105"/>
        </w:rPr>
        <w:t>Consejeros:</w:t>
      </w:r>
    </w:p>
    <w:p>
      <w:pPr>
        <w:pStyle w:val="BodyText"/>
        <w:tabs>
          <w:tab w:pos="5478" w:val="left" w:leader="none"/>
        </w:tabs>
        <w:spacing w:before="133"/>
        <w:ind w:left="957"/>
      </w:pPr>
      <w:r>
        <w:rPr>
          <w:w w:val="105"/>
        </w:rPr>
        <w:t>DON DOMINGO</w:t>
      </w:r>
      <w:r>
        <w:rPr>
          <w:spacing w:val="-1"/>
          <w:w w:val="105"/>
        </w:rPr>
        <w:t> </w:t>
      </w:r>
      <w:r>
        <w:rPr>
          <w:w w:val="105"/>
        </w:rPr>
        <w:t>GARCIA</w:t>
      </w:r>
      <w:r>
        <w:rPr>
          <w:spacing w:val="2"/>
          <w:w w:val="105"/>
        </w:rPr>
        <w:t> </w:t>
      </w:r>
      <w:r>
        <w:rPr>
          <w:w w:val="105"/>
        </w:rPr>
        <w:t>RUIZ</w:t>
        <w:tab/>
        <w:t>--------------------------------------------------------------</w:t>
      </w:r>
    </w:p>
    <w:p>
      <w:pPr>
        <w:pStyle w:val="BodyText"/>
        <w:rPr>
          <w:sz w:val="18"/>
        </w:rPr>
      </w:pPr>
    </w:p>
    <w:p>
      <w:pPr>
        <w:pStyle w:val="BodyText"/>
        <w:rPr>
          <w:sz w:val="18"/>
        </w:rPr>
      </w:pPr>
    </w:p>
    <w:p>
      <w:pPr>
        <w:pStyle w:val="BodyText"/>
        <w:rPr>
          <w:sz w:val="18"/>
        </w:rPr>
      </w:pPr>
    </w:p>
    <w:p>
      <w:pPr>
        <w:pStyle w:val="BodyText"/>
        <w:tabs>
          <w:tab w:pos="5514" w:val="left" w:leader="none"/>
        </w:tabs>
        <w:spacing w:before="148"/>
        <w:ind w:left="957"/>
      </w:pPr>
      <w:r>
        <w:rPr>
          <w:w w:val="105"/>
        </w:rPr>
        <w:t>DON J0SE DAVID</w:t>
      </w:r>
      <w:r>
        <w:rPr>
          <w:spacing w:val="-5"/>
          <w:w w:val="105"/>
        </w:rPr>
        <w:t> </w:t>
      </w:r>
      <w:r>
        <w:rPr>
          <w:w w:val="105"/>
        </w:rPr>
        <w:t>CABRERA</w:t>
      </w:r>
      <w:r>
        <w:rPr>
          <w:spacing w:val="4"/>
          <w:w w:val="105"/>
        </w:rPr>
        <w:t> </w:t>
      </w:r>
      <w:r>
        <w:rPr>
          <w:w w:val="105"/>
        </w:rPr>
        <w:t>MARTIN</w:t>
        <w:tab/>
        <w:t>-------------------------------------------------------------</w:t>
      </w:r>
    </w:p>
    <w:p>
      <w:pPr>
        <w:pStyle w:val="BodyText"/>
        <w:rPr>
          <w:sz w:val="18"/>
        </w:rPr>
      </w:pPr>
    </w:p>
    <w:p>
      <w:pPr>
        <w:pStyle w:val="BodyText"/>
        <w:rPr>
          <w:sz w:val="18"/>
        </w:rPr>
      </w:pPr>
    </w:p>
    <w:p>
      <w:pPr>
        <w:pStyle w:val="BodyText"/>
        <w:rPr>
          <w:sz w:val="18"/>
        </w:rPr>
      </w:pPr>
    </w:p>
    <w:p>
      <w:pPr>
        <w:pStyle w:val="BodyText"/>
        <w:tabs>
          <w:tab w:pos="5542" w:val="left" w:leader="none"/>
        </w:tabs>
        <w:spacing w:before="155"/>
        <w:ind w:left="957"/>
      </w:pPr>
      <w:r>
        <w:rPr>
          <w:w w:val="105"/>
        </w:rPr>
        <w:t>DON MOISES DARIO</w:t>
      </w:r>
      <w:r>
        <w:rPr>
          <w:spacing w:val="8"/>
          <w:w w:val="105"/>
        </w:rPr>
        <w:t> </w:t>
      </w:r>
      <w:r>
        <w:rPr>
          <w:w w:val="105"/>
        </w:rPr>
        <w:t>PEREZ</w:t>
      </w:r>
      <w:r>
        <w:rPr>
          <w:spacing w:val="2"/>
          <w:w w:val="105"/>
        </w:rPr>
        <w:t> </w:t>
      </w:r>
      <w:r>
        <w:rPr>
          <w:w w:val="105"/>
        </w:rPr>
        <w:t>FARRIAS</w:t>
        <w:tab/>
        <w:t>-------------------------------------------------------------</w:t>
      </w:r>
    </w:p>
    <w:p>
      <w:pPr>
        <w:pStyle w:val="BodyText"/>
        <w:rPr>
          <w:sz w:val="18"/>
        </w:rPr>
      </w:pPr>
    </w:p>
    <w:p>
      <w:pPr>
        <w:pStyle w:val="BodyText"/>
        <w:rPr>
          <w:sz w:val="18"/>
        </w:rPr>
      </w:pPr>
    </w:p>
    <w:p>
      <w:pPr>
        <w:pStyle w:val="BodyText"/>
        <w:rPr>
          <w:sz w:val="18"/>
        </w:rPr>
      </w:pPr>
    </w:p>
    <w:p>
      <w:pPr>
        <w:pStyle w:val="BodyText"/>
        <w:tabs>
          <w:tab w:pos="5492" w:val="left" w:leader="none"/>
        </w:tabs>
        <w:spacing w:before="155"/>
        <w:ind w:left="957"/>
      </w:pPr>
      <w:r>
        <w:rPr>
          <w:w w:val="105"/>
        </w:rPr>
        <w:t>DON JUAN MANUEL</w:t>
      </w:r>
      <w:r>
        <w:rPr>
          <w:spacing w:val="2"/>
          <w:w w:val="105"/>
        </w:rPr>
        <w:t> </w:t>
      </w:r>
      <w:r>
        <w:rPr>
          <w:w w:val="105"/>
        </w:rPr>
        <w:t>GARCIA</w:t>
      </w:r>
      <w:r>
        <w:rPr>
          <w:spacing w:val="4"/>
          <w:w w:val="105"/>
        </w:rPr>
        <w:t> </w:t>
      </w:r>
      <w:r>
        <w:rPr>
          <w:w w:val="105"/>
        </w:rPr>
        <w:t>DOMINGUEZ</w:t>
        <w:tab/>
        <w:t>--------------------------------------------------------------</w:t>
      </w:r>
    </w:p>
    <w:p>
      <w:pPr>
        <w:pStyle w:val="BodyText"/>
        <w:rPr>
          <w:sz w:val="18"/>
        </w:rPr>
      </w:pPr>
    </w:p>
    <w:p>
      <w:pPr>
        <w:pStyle w:val="BodyText"/>
        <w:rPr>
          <w:sz w:val="18"/>
        </w:rPr>
      </w:pPr>
    </w:p>
    <w:p>
      <w:pPr>
        <w:pStyle w:val="BodyText"/>
        <w:rPr>
          <w:sz w:val="18"/>
        </w:rPr>
      </w:pPr>
    </w:p>
    <w:p>
      <w:pPr>
        <w:pStyle w:val="BodyText"/>
        <w:tabs>
          <w:tab w:pos="5400" w:val="left" w:leader="none"/>
        </w:tabs>
        <w:spacing w:before="148"/>
        <w:ind w:left="957"/>
      </w:pPr>
      <w:r>
        <w:rPr>
          <w:w w:val="105"/>
        </w:rPr>
        <w:t>DON JORGE AMARO</w:t>
      </w:r>
      <w:r>
        <w:rPr>
          <w:spacing w:val="5"/>
          <w:w w:val="105"/>
        </w:rPr>
        <w:t> </w:t>
      </w:r>
      <w:r>
        <w:rPr>
          <w:w w:val="105"/>
        </w:rPr>
        <w:t>ACOSTA</w:t>
        <w:tab/>
        <w:t>---------------------------------------------------------------</w:t>
      </w:r>
    </w:p>
    <w:p>
      <w:pPr>
        <w:pStyle w:val="BodyText"/>
        <w:rPr>
          <w:sz w:val="18"/>
        </w:rPr>
      </w:pPr>
    </w:p>
    <w:p>
      <w:pPr>
        <w:pStyle w:val="BodyText"/>
        <w:rPr>
          <w:sz w:val="18"/>
        </w:rPr>
      </w:pPr>
    </w:p>
    <w:p>
      <w:pPr>
        <w:pStyle w:val="BodyText"/>
        <w:rPr>
          <w:sz w:val="18"/>
        </w:rPr>
      </w:pPr>
    </w:p>
    <w:p>
      <w:pPr>
        <w:pStyle w:val="BodyText"/>
        <w:tabs>
          <w:tab w:pos="5336" w:val="left" w:leader="none"/>
        </w:tabs>
        <w:spacing w:before="156"/>
        <w:ind w:left="957"/>
      </w:pPr>
      <w:r>
        <w:rPr>
          <w:w w:val="105"/>
        </w:rPr>
        <w:t>DOÑA MARIA MELISA</w:t>
      </w:r>
      <w:r>
        <w:rPr>
          <w:spacing w:val="6"/>
          <w:w w:val="105"/>
        </w:rPr>
        <w:t> </w:t>
      </w:r>
      <w:r>
        <w:rPr>
          <w:w w:val="105"/>
        </w:rPr>
        <w:t>GARCIA</w:t>
      </w:r>
      <w:r>
        <w:rPr>
          <w:spacing w:val="2"/>
          <w:w w:val="105"/>
        </w:rPr>
        <w:t> </w:t>
      </w:r>
      <w:r>
        <w:rPr>
          <w:w w:val="105"/>
        </w:rPr>
        <w:t>DONIZ</w:t>
        <w:tab/>
        <w:t>----------------------------------------------------------------</w:t>
      </w:r>
    </w:p>
    <w:sectPr>
      <w:pgSz w:w="11920" w:h="16850"/>
      <w:pgMar w:header="735" w:footer="891" w:top="1600" w:bottom="10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 w:name="Symbol">
    <w:altName w:val="Symbol"/>
    <w:charset w:val="2"/>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83.751999pt;margin-top:783.440918pt;width:428.4pt;height:4.3pt;mso-position-horizontal-relative:page;mso-position-vertical-relative:page;z-index:-255492096" coordorigin="1675,15669" coordsize="8568,86">
          <v:line style="position:absolute" from="1675,15697" to="10242,15697" stroked="true" strokeweight="2.8611pt" strokecolor="#612322">
            <v:stroke dashstyle="solid"/>
          </v:line>
          <v:line style="position:absolute" from="1675,15747" to="10242,15747" stroked="true" strokeweight=".70935pt" strokecolor="#612322">
            <v:stroke dashstyle="solid"/>
          </v:line>
          <w10:wrap type="none"/>
        </v:group>
      </w:pict>
    </w:r>
    <w:r>
      <w:rPr/>
      <w:pict>
        <v:shape style="position:absolute;margin-left:253.449997pt;margin-top:789.114807pt;width:89.3pt;height:10.2pt;mso-position-horizontal-relative:page;mso-position-vertical-relative:page;z-index:-255491072" type="#_x0000_t202" filled="false" stroked="false">
          <v:textbox inset="0,0,0,0">
            <w:txbxContent>
              <w:p>
                <w:pPr>
                  <w:spacing w:line="185" w:lineRule="exact" w:before="0"/>
                  <w:ind w:left="20" w:right="0" w:firstLine="0"/>
                  <w:jc w:val="left"/>
                  <w:rPr>
                    <w:sz w:val="16"/>
                  </w:rPr>
                </w:pPr>
                <w:r>
                  <w:rPr>
                    <w:sz w:val="16"/>
                  </w:rPr>
                  <w:t>Consejo de Administración</w:t>
                </w:r>
              </w:p>
            </w:txbxContent>
          </v:textbox>
          <w10:wrap type="none"/>
        </v:shape>
      </w:pict>
    </w:r>
    <w:r>
      <w:rPr/>
      <w:pict>
        <v:shape style="position:absolute;margin-left:478.100006pt;margin-top:804.720825pt;width:35.950pt;height:10.2pt;mso-position-horizontal-relative:page;mso-position-vertical-relative:page;z-index:-255490048" type="#_x0000_t202" filled="false" stroked="false">
          <v:textbox inset="0,0,0,0">
            <w:txbxContent>
              <w:p>
                <w:pPr>
                  <w:spacing w:line="185" w:lineRule="exact" w:before="0"/>
                  <w:ind w:left="20" w:right="0" w:firstLine="0"/>
                  <w:jc w:val="left"/>
                  <w:rPr>
                    <w:sz w:val="16"/>
                  </w:rPr>
                </w:pPr>
                <w:r>
                  <w:rPr>
                    <w:sz w:val="16"/>
                  </w:rPr>
                  <w:t>Página </w:t>
                </w:r>
                <w:r>
                  <w:rPr/>
                  <w:fldChar w:fldCharType="begin"/>
                </w:r>
                <w:r>
                  <w:rPr>
                    <w:sz w:val="16"/>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41.679993pt;margin-top:35.73576pt;width:340.2pt;height:29.45pt;mso-position-horizontal-relative:page;mso-position-vertical-relative:page;z-index:-255493120" type="#_x0000_t202" filled="false" stroked="false">
          <v:textbox inset="0,0,0,0">
            <w:txbxContent>
              <w:p>
                <w:pPr>
                  <w:spacing w:line="265" w:lineRule="exact" w:before="0"/>
                  <w:ind w:left="4" w:right="4" w:firstLine="0"/>
                  <w:jc w:val="center"/>
                  <w:rPr>
                    <w:b/>
                    <w:sz w:val="24"/>
                  </w:rPr>
                </w:pPr>
                <w:r>
                  <w:rPr>
                    <w:b/>
                    <w:sz w:val="24"/>
                  </w:rPr>
                  <w:t>MEDIOS DE COMUNICACIÓN MUNICIPALES DE LOS REALEJOS, S.L.U.</w:t>
                </w:r>
              </w:p>
              <w:p>
                <w:pPr>
                  <w:spacing w:before="119"/>
                  <w:ind w:left="1" w:right="4" w:firstLine="0"/>
                  <w:jc w:val="center"/>
                  <w:rPr>
                    <w:rFonts w:ascii="Arial"/>
                    <w:sz w:val="16"/>
                  </w:rPr>
                </w:pPr>
                <w:r>
                  <w:rPr>
                    <w:rFonts w:ascii="Arial"/>
                    <w:sz w:val="16"/>
                  </w:rPr>
                  <w:t>Cuentas anuales abreviadas del ejercicio 2024</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upperLetter"/>
      <w:lvlText w:val="%1)"/>
      <w:lvlJc w:val="left"/>
      <w:pPr>
        <w:ind w:left="609" w:hanging="206"/>
        <w:jc w:val="left"/>
      </w:pPr>
      <w:rPr>
        <w:rFonts w:hint="default" w:ascii="Calibri" w:hAnsi="Calibri" w:eastAsia="Calibri" w:cs="Calibri"/>
        <w:b/>
        <w:bCs/>
        <w:spacing w:val="-2"/>
        <w:w w:val="104"/>
        <w:sz w:val="17"/>
        <w:szCs w:val="17"/>
      </w:rPr>
    </w:lvl>
    <w:lvl w:ilvl="1">
      <w:start w:val="0"/>
      <w:numFmt w:val="bullet"/>
      <w:lvlText w:val="•"/>
      <w:lvlJc w:val="left"/>
      <w:pPr>
        <w:ind w:left="1471" w:hanging="206"/>
      </w:pPr>
      <w:rPr>
        <w:rFonts w:hint="default"/>
      </w:rPr>
    </w:lvl>
    <w:lvl w:ilvl="2">
      <w:start w:val="0"/>
      <w:numFmt w:val="bullet"/>
      <w:lvlText w:val="•"/>
      <w:lvlJc w:val="left"/>
      <w:pPr>
        <w:ind w:left="2342" w:hanging="206"/>
      </w:pPr>
      <w:rPr>
        <w:rFonts w:hint="default"/>
      </w:rPr>
    </w:lvl>
    <w:lvl w:ilvl="3">
      <w:start w:val="0"/>
      <w:numFmt w:val="bullet"/>
      <w:lvlText w:val="•"/>
      <w:lvlJc w:val="left"/>
      <w:pPr>
        <w:ind w:left="3213" w:hanging="206"/>
      </w:pPr>
      <w:rPr>
        <w:rFonts w:hint="default"/>
      </w:rPr>
    </w:lvl>
    <w:lvl w:ilvl="4">
      <w:start w:val="0"/>
      <w:numFmt w:val="bullet"/>
      <w:lvlText w:val="•"/>
      <w:lvlJc w:val="left"/>
      <w:pPr>
        <w:ind w:left="4084" w:hanging="206"/>
      </w:pPr>
      <w:rPr>
        <w:rFonts w:hint="default"/>
      </w:rPr>
    </w:lvl>
    <w:lvl w:ilvl="5">
      <w:start w:val="0"/>
      <w:numFmt w:val="bullet"/>
      <w:lvlText w:val="•"/>
      <w:lvlJc w:val="left"/>
      <w:pPr>
        <w:ind w:left="4955" w:hanging="206"/>
      </w:pPr>
      <w:rPr>
        <w:rFonts w:hint="default"/>
      </w:rPr>
    </w:lvl>
    <w:lvl w:ilvl="6">
      <w:start w:val="0"/>
      <w:numFmt w:val="bullet"/>
      <w:lvlText w:val="•"/>
      <w:lvlJc w:val="left"/>
      <w:pPr>
        <w:ind w:left="5826" w:hanging="206"/>
      </w:pPr>
      <w:rPr>
        <w:rFonts w:hint="default"/>
      </w:rPr>
    </w:lvl>
    <w:lvl w:ilvl="7">
      <w:start w:val="0"/>
      <w:numFmt w:val="bullet"/>
      <w:lvlText w:val="•"/>
      <w:lvlJc w:val="left"/>
      <w:pPr>
        <w:ind w:left="6697" w:hanging="206"/>
      </w:pPr>
      <w:rPr>
        <w:rFonts w:hint="default"/>
      </w:rPr>
    </w:lvl>
    <w:lvl w:ilvl="8">
      <w:start w:val="0"/>
      <w:numFmt w:val="bullet"/>
      <w:lvlText w:val="•"/>
      <w:lvlJc w:val="left"/>
      <w:pPr>
        <w:ind w:left="7568" w:hanging="206"/>
      </w:pPr>
      <w:rPr>
        <w:rFonts w:hint="default"/>
      </w:rPr>
    </w:lvl>
  </w:abstractNum>
  <w:abstractNum w:abstractNumId="7">
    <w:multiLevelType w:val="hybridMultilevel"/>
    <w:lvl w:ilvl="0">
      <w:start w:val="1"/>
      <w:numFmt w:val="lowerLetter"/>
      <w:lvlText w:val="%1)"/>
      <w:lvlJc w:val="left"/>
      <w:pPr>
        <w:ind w:left="594" w:hanging="192"/>
        <w:jc w:val="left"/>
      </w:pPr>
      <w:rPr>
        <w:rFonts w:hint="default"/>
        <w:b/>
        <w:bCs/>
        <w:i/>
        <w:spacing w:val="-2"/>
        <w:w w:val="104"/>
      </w:rPr>
    </w:lvl>
    <w:lvl w:ilvl="1">
      <w:start w:val="0"/>
      <w:numFmt w:val="bullet"/>
      <w:lvlText w:val="•"/>
      <w:lvlJc w:val="left"/>
      <w:pPr>
        <w:ind w:left="1471" w:hanging="192"/>
      </w:pPr>
      <w:rPr>
        <w:rFonts w:hint="default"/>
      </w:rPr>
    </w:lvl>
    <w:lvl w:ilvl="2">
      <w:start w:val="0"/>
      <w:numFmt w:val="bullet"/>
      <w:lvlText w:val="•"/>
      <w:lvlJc w:val="left"/>
      <w:pPr>
        <w:ind w:left="2342" w:hanging="192"/>
      </w:pPr>
      <w:rPr>
        <w:rFonts w:hint="default"/>
      </w:rPr>
    </w:lvl>
    <w:lvl w:ilvl="3">
      <w:start w:val="0"/>
      <w:numFmt w:val="bullet"/>
      <w:lvlText w:val="•"/>
      <w:lvlJc w:val="left"/>
      <w:pPr>
        <w:ind w:left="3213" w:hanging="192"/>
      </w:pPr>
      <w:rPr>
        <w:rFonts w:hint="default"/>
      </w:rPr>
    </w:lvl>
    <w:lvl w:ilvl="4">
      <w:start w:val="0"/>
      <w:numFmt w:val="bullet"/>
      <w:lvlText w:val="•"/>
      <w:lvlJc w:val="left"/>
      <w:pPr>
        <w:ind w:left="4084" w:hanging="192"/>
      </w:pPr>
      <w:rPr>
        <w:rFonts w:hint="default"/>
      </w:rPr>
    </w:lvl>
    <w:lvl w:ilvl="5">
      <w:start w:val="0"/>
      <w:numFmt w:val="bullet"/>
      <w:lvlText w:val="•"/>
      <w:lvlJc w:val="left"/>
      <w:pPr>
        <w:ind w:left="4955" w:hanging="192"/>
      </w:pPr>
      <w:rPr>
        <w:rFonts w:hint="default"/>
      </w:rPr>
    </w:lvl>
    <w:lvl w:ilvl="6">
      <w:start w:val="0"/>
      <w:numFmt w:val="bullet"/>
      <w:lvlText w:val="•"/>
      <w:lvlJc w:val="left"/>
      <w:pPr>
        <w:ind w:left="5826" w:hanging="192"/>
      </w:pPr>
      <w:rPr>
        <w:rFonts w:hint="default"/>
      </w:rPr>
    </w:lvl>
    <w:lvl w:ilvl="7">
      <w:start w:val="0"/>
      <w:numFmt w:val="bullet"/>
      <w:lvlText w:val="•"/>
      <w:lvlJc w:val="left"/>
      <w:pPr>
        <w:ind w:left="6697" w:hanging="192"/>
      </w:pPr>
      <w:rPr>
        <w:rFonts w:hint="default"/>
      </w:rPr>
    </w:lvl>
    <w:lvl w:ilvl="8">
      <w:start w:val="0"/>
      <w:numFmt w:val="bullet"/>
      <w:lvlText w:val="•"/>
      <w:lvlJc w:val="left"/>
      <w:pPr>
        <w:ind w:left="7568" w:hanging="192"/>
      </w:pPr>
      <w:rPr>
        <w:rFonts w:hint="default"/>
      </w:rPr>
    </w:lvl>
  </w:abstractNum>
  <w:abstractNum w:abstractNumId="6">
    <w:multiLevelType w:val="hybridMultilevel"/>
    <w:lvl w:ilvl="0">
      <w:start w:val="1"/>
      <w:numFmt w:val="lowerLetter"/>
      <w:lvlText w:val="%1)"/>
      <w:lvlJc w:val="left"/>
      <w:pPr>
        <w:ind w:left="971" w:hanging="568"/>
        <w:jc w:val="left"/>
      </w:pPr>
      <w:rPr>
        <w:rFonts w:hint="default" w:ascii="Calibri" w:hAnsi="Calibri" w:eastAsia="Calibri" w:cs="Calibri"/>
        <w:w w:val="104"/>
        <w:sz w:val="17"/>
        <w:szCs w:val="17"/>
      </w:rPr>
    </w:lvl>
    <w:lvl w:ilvl="1">
      <w:start w:val="0"/>
      <w:numFmt w:val="bullet"/>
      <w:lvlText w:val="•"/>
      <w:lvlJc w:val="left"/>
      <w:pPr>
        <w:ind w:left="1813" w:hanging="568"/>
      </w:pPr>
      <w:rPr>
        <w:rFonts w:hint="default"/>
      </w:rPr>
    </w:lvl>
    <w:lvl w:ilvl="2">
      <w:start w:val="0"/>
      <w:numFmt w:val="bullet"/>
      <w:lvlText w:val="•"/>
      <w:lvlJc w:val="left"/>
      <w:pPr>
        <w:ind w:left="2646" w:hanging="568"/>
      </w:pPr>
      <w:rPr>
        <w:rFonts w:hint="default"/>
      </w:rPr>
    </w:lvl>
    <w:lvl w:ilvl="3">
      <w:start w:val="0"/>
      <w:numFmt w:val="bullet"/>
      <w:lvlText w:val="•"/>
      <w:lvlJc w:val="left"/>
      <w:pPr>
        <w:ind w:left="3479" w:hanging="568"/>
      </w:pPr>
      <w:rPr>
        <w:rFonts w:hint="default"/>
      </w:rPr>
    </w:lvl>
    <w:lvl w:ilvl="4">
      <w:start w:val="0"/>
      <w:numFmt w:val="bullet"/>
      <w:lvlText w:val="•"/>
      <w:lvlJc w:val="left"/>
      <w:pPr>
        <w:ind w:left="4312" w:hanging="568"/>
      </w:pPr>
      <w:rPr>
        <w:rFonts w:hint="default"/>
      </w:rPr>
    </w:lvl>
    <w:lvl w:ilvl="5">
      <w:start w:val="0"/>
      <w:numFmt w:val="bullet"/>
      <w:lvlText w:val="•"/>
      <w:lvlJc w:val="left"/>
      <w:pPr>
        <w:ind w:left="5145" w:hanging="568"/>
      </w:pPr>
      <w:rPr>
        <w:rFonts w:hint="default"/>
      </w:rPr>
    </w:lvl>
    <w:lvl w:ilvl="6">
      <w:start w:val="0"/>
      <w:numFmt w:val="bullet"/>
      <w:lvlText w:val="•"/>
      <w:lvlJc w:val="left"/>
      <w:pPr>
        <w:ind w:left="5978" w:hanging="568"/>
      </w:pPr>
      <w:rPr>
        <w:rFonts w:hint="default"/>
      </w:rPr>
    </w:lvl>
    <w:lvl w:ilvl="7">
      <w:start w:val="0"/>
      <w:numFmt w:val="bullet"/>
      <w:lvlText w:val="•"/>
      <w:lvlJc w:val="left"/>
      <w:pPr>
        <w:ind w:left="6811" w:hanging="568"/>
      </w:pPr>
      <w:rPr>
        <w:rFonts w:hint="default"/>
      </w:rPr>
    </w:lvl>
    <w:lvl w:ilvl="8">
      <w:start w:val="0"/>
      <w:numFmt w:val="bullet"/>
      <w:lvlText w:val="•"/>
      <w:lvlJc w:val="left"/>
      <w:pPr>
        <w:ind w:left="7644" w:hanging="568"/>
      </w:pPr>
      <w:rPr>
        <w:rFonts w:hint="default"/>
      </w:rPr>
    </w:lvl>
  </w:abstractNum>
  <w:abstractNum w:abstractNumId="5">
    <w:multiLevelType w:val="hybridMultilevel"/>
    <w:lvl w:ilvl="0">
      <w:start w:val="1"/>
      <w:numFmt w:val="lowerLetter"/>
      <w:lvlText w:val="%1)"/>
      <w:lvlJc w:val="left"/>
      <w:pPr>
        <w:ind w:left="829" w:hanging="285"/>
        <w:jc w:val="left"/>
      </w:pPr>
      <w:rPr>
        <w:rFonts w:hint="default" w:ascii="Calibri" w:hAnsi="Calibri" w:eastAsia="Calibri" w:cs="Calibri"/>
        <w:w w:val="104"/>
        <w:sz w:val="17"/>
        <w:szCs w:val="17"/>
      </w:rPr>
    </w:lvl>
    <w:lvl w:ilvl="1">
      <w:start w:val="0"/>
      <w:numFmt w:val="bullet"/>
      <w:lvlText w:val="•"/>
      <w:lvlJc w:val="left"/>
      <w:pPr>
        <w:ind w:left="1669" w:hanging="285"/>
      </w:pPr>
      <w:rPr>
        <w:rFonts w:hint="default"/>
      </w:rPr>
    </w:lvl>
    <w:lvl w:ilvl="2">
      <w:start w:val="0"/>
      <w:numFmt w:val="bullet"/>
      <w:lvlText w:val="•"/>
      <w:lvlJc w:val="left"/>
      <w:pPr>
        <w:ind w:left="2518" w:hanging="285"/>
      </w:pPr>
      <w:rPr>
        <w:rFonts w:hint="default"/>
      </w:rPr>
    </w:lvl>
    <w:lvl w:ilvl="3">
      <w:start w:val="0"/>
      <w:numFmt w:val="bullet"/>
      <w:lvlText w:val="•"/>
      <w:lvlJc w:val="left"/>
      <w:pPr>
        <w:ind w:left="3367" w:hanging="285"/>
      </w:pPr>
      <w:rPr>
        <w:rFonts w:hint="default"/>
      </w:rPr>
    </w:lvl>
    <w:lvl w:ilvl="4">
      <w:start w:val="0"/>
      <w:numFmt w:val="bullet"/>
      <w:lvlText w:val="•"/>
      <w:lvlJc w:val="left"/>
      <w:pPr>
        <w:ind w:left="4216" w:hanging="285"/>
      </w:pPr>
      <w:rPr>
        <w:rFonts w:hint="default"/>
      </w:rPr>
    </w:lvl>
    <w:lvl w:ilvl="5">
      <w:start w:val="0"/>
      <w:numFmt w:val="bullet"/>
      <w:lvlText w:val="•"/>
      <w:lvlJc w:val="left"/>
      <w:pPr>
        <w:ind w:left="5065" w:hanging="285"/>
      </w:pPr>
      <w:rPr>
        <w:rFonts w:hint="default"/>
      </w:rPr>
    </w:lvl>
    <w:lvl w:ilvl="6">
      <w:start w:val="0"/>
      <w:numFmt w:val="bullet"/>
      <w:lvlText w:val="•"/>
      <w:lvlJc w:val="left"/>
      <w:pPr>
        <w:ind w:left="5914" w:hanging="285"/>
      </w:pPr>
      <w:rPr>
        <w:rFonts w:hint="default"/>
      </w:rPr>
    </w:lvl>
    <w:lvl w:ilvl="7">
      <w:start w:val="0"/>
      <w:numFmt w:val="bullet"/>
      <w:lvlText w:val="•"/>
      <w:lvlJc w:val="left"/>
      <w:pPr>
        <w:ind w:left="6763" w:hanging="285"/>
      </w:pPr>
      <w:rPr>
        <w:rFonts w:hint="default"/>
      </w:rPr>
    </w:lvl>
    <w:lvl w:ilvl="8">
      <w:start w:val="0"/>
      <w:numFmt w:val="bullet"/>
      <w:lvlText w:val="•"/>
      <w:lvlJc w:val="left"/>
      <w:pPr>
        <w:ind w:left="7612" w:hanging="285"/>
      </w:pPr>
      <w:rPr>
        <w:rFonts w:hint="default"/>
      </w:rPr>
    </w:lvl>
  </w:abstractNum>
  <w:abstractNum w:abstractNumId="4">
    <w:multiLevelType w:val="hybridMultilevel"/>
    <w:lvl w:ilvl="0">
      <w:start w:val="1"/>
      <w:numFmt w:val="lowerLetter"/>
      <w:lvlText w:val="%1)"/>
      <w:lvlJc w:val="left"/>
      <w:pPr>
        <w:ind w:left="829" w:hanging="285"/>
        <w:jc w:val="left"/>
      </w:pPr>
      <w:rPr>
        <w:rFonts w:hint="default" w:ascii="Calibri" w:hAnsi="Calibri" w:eastAsia="Calibri" w:cs="Calibri"/>
        <w:w w:val="104"/>
        <w:sz w:val="17"/>
        <w:szCs w:val="17"/>
      </w:rPr>
    </w:lvl>
    <w:lvl w:ilvl="1">
      <w:start w:val="0"/>
      <w:numFmt w:val="bullet"/>
      <w:lvlText w:val="•"/>
      <w:lvlJc w:val="left"/>
      <w:pPr>
        <w:ind w:left="1669" w:hanging="285"/>
      </w:pPr>
      <w:rPr>
        <w:rFonts w:hint="default"/>
      </w:rPr>
    </w:lvl>
    <w:lvl w:ilvl="2">
      <w:start w:val="0"/>
      <w:numFmt w:val="bullet"/>
      <w:lvlText w:val="•"/>
      <w:lvlJc w:val="left"/>
      <w:pPr>
        <w:ind w:left="2518" w:hanging="285"/>
      </w:pPr>
      <w:rPr>
        <w:rFonts w:hint="default"/>
      </w:rPr>
    </w:lvl>
    <w:lvl w:ilvl="3">
      <w:start w:val="0"/>
      <w:numFmt w:val="bullet"/>
      <w:lvlText w:val="•"/>
      <w:lvlJc w:val="left"/>
      <w:pPr>
        <w:ind w:left="3367" w:hanging="285"/>
      </w:pPr>
      <w:rPr>
        <w:rFonts w:hint="default"/>
      </w:rPr>
    </w:lvl>
    <w:lvl w:ilvl="4">
      <w:start w:val="0"/>
      <w:numFmt w:val="bullet"/>
      <w:lvlText w:val="•"/>
      <w:lvlJc w:val="left"/>
      <w:pPr>
        <w:ind w:left="4216" w:hanging="285"/>
      </w:pPr>
      <w:rPr>
        <w:rFonts w:hint="default"/>
      </w:rPr>
    </w:lvl>
    <w:lvl w:ilvl="5">
      <w:start w:val="0"/>
      <w:numFmt w:val="bullet"/>
      <w:lvlText w:val="•"/>
      <w:lvlJc w:val="left"/>
      <w:pPr>
        <w:ind w:left="5065" w:hanging="285"/>
      </w:pPr>
      <w:rPr>
        <w:rFonts w:hint="default"/>
      </w:rPr>
    </w:lvl>
    <w:lvl w:ilvl="6">
      <w:start w:val="0"/>
      <w:numFmt w:val="bullet"/>
      <w:lvlText w:val="•"/>
      <w:lvlJc w:val="left"/>
      <w:pPr>
        <w:ind w:left="5914" w:hanging="285"/>
      </w:pPr>
      <w:rPr>
        <w:rFonts w:hint="default"/>
      </w:rPr>
    </w:lvl>
    <w:lvl w:ilvl="7">
      <w:start w:val="0"/>
      <w:numFmt w:val="bullet"/>
      <w:lvlText w:val="•"/>
      <w:lvlJc w:val="left"/>
      <w:pPr>
        <w:ind w:left="6763" w:hanging="285"/>
      </w:pPr>
      <w:rPr>
        <w:rFonts w:hint="default"/>
      </w:rPr>
    </w:lvl>
    <w:lvl w:ilvl="8">
      <w:start w:val="0"/>
      <w:numFmt w:val="bullet"/>
      <w:lvlText w:val="•"/>
      <w:lvlJc w:val="left"/>
      <w:pPr>
        <w:ind w:left="7612" w:hanging="285"/>
      </w:pPr>
      <w:rPr>
        <w:rFonts w:hint="default"/>
      </w:rPr>
    </w:lvl>
  </w:abstractNum>
  <w:abstractNum w:abstractNumId="3">
    <w:multiLevelType w:val="hybridMultilevel"/>
    <w:lvl w:ilvl="0">
      <w:start w:val="3"/>
      <w:numFmt w:val="decimal"/>
      <w:lvlText w:val="%1"/>
      <w:lvlJc w:val="left"/>
      <w:pPr>
        <w:ind w:left="403" w:hanging="461"/>
        <w:jc w:val="left"/>
      </w:pPr>
      <w:rPr>
        <w:rFonts w:hint="default"/>
      </w:rPr>
    </w:lvl>
    <w:lvl w:ilvl="1">
      <w:start w:val="5"/>
      <w:numFmt w:val="decimal"/>
      <w:lvlText w:val="%1.%2"/>
      <w:lvlJc w:val="left"/>
      <w:pPr>
        <w:ind w:left="403" w:hanging="461"/>
        <w:jc w:val="left"/>
      </w:pPr>
      <w:rPr>
        <w:rFonts w:hint="default"/>
      </w:rPr>
    </w:lvl>
    <w:lvl w:ilvl="2">
      <w:start w:val="1"/>
      <w:numFmt w:val="decimal"/>
      <w:lvlText w:val="%1.%2.%3."/>
      <w:lvlJc w:val="left"/>
      <w:pPr>
        <w:ind w:left="403" w:hanging="461"/>
        <w:jc w:val="left"/>
      </w:pPr>
      <w:rPr>
        <w:rFonts w:hint="default" w:ascii="Calibri" w:hAnsi="Calibri" w:eastAsia="Calibri" w:cs="Calibri"/>
        <w:b/>
        <w:bCs/>
        <w:i/>
        <w:spacing w:val="0"/>
        <w:w w:val="104"/>
        <w:sz w:val="17"/>
        <w:szCs w:val="17"/>
      </w:rPr>
    </w:lvl>
    <w:lvl w:ilvl="3">
      <w:start w:val="0"/>
      <w:numFmt w:val="bullet"/>
      <w:lvlText w:val="•"/>
      <w:lvlJc w:val="left"/>
      <w:pPr>
        <w:ind w:left="3073" w:hanging="461"/>
      </w:pPr>
      <w:rPr>
        <w:rFonts w:hint="default"/>
      </w:rPr>
    </w:lvl>
    <w:lvl w:ilvl="4">
      <w:start w:val="0"/>
      <w:numFmt w:val="bullet"/>
      <w:lvlText w:val="•"/>
      <w:lvlJc w:val="left"/>
      <w:pPr>
        <w:ind w:left="3964" w:hanging="461"/>
      </w:pPr>
      <w:rPr>
        <w:rFonts w:hint="default"/>
      </w:rPr>
    </w:lvl>
    <w:lvl w:ilvl="5">
      <w:start w:val="0"/>
      <w:numFmt w:val="bullet"/>
      <w:lvlText w:val="•"/>
      <w:lvlJc w:val="left"/>
      <w:pPr>
        <w:ind w:left="4855" w:hanging="461"/>
      </w:pPr>
      <w:rPr>
        <w:rFonts w:hint="default"/>
      </w:rPr>
    </w:lvl>
    <w:lvl w:ilvl="6">
      <w:start w:val="0"/>
      <w:numFmt w:val="bullet"/>
      <w:lvlText w:val="•"/>
      <w:lvlJc w:val="left"/>
      <w:pPr>
        <w:ind w:left="5746" w:hanging="461"/>
      </w:pPr>
      <w:rPr>
        <w:rFonts w:hint="default"/>
      </w:rPr>
    </w:lvl>
    <w:lvl w:ilvl="7">
      <w:start w:val="0"/>
      <w:numFmt w:val="bullet"/>
      <w:lvlText w:val="•"/>
      <w:lvlJc w:val="left"/>
      <w:pPr>
        <w:ind w:left="6637" w:hanging="461"/>
      </w:pPr>
      <w:rPr>
        <w:rFonts w:hint="default"/>
      </w:rPr>
    </w:lvl>
    <w:lvl w:ilvl="8">
      <w:start w:val="0"/>
      <w:numFmt w:val="bullet"/>
      <w:lvlText w:val="•"/>
      <w:lvlJc w:val="left"/>
      <w:pPr>
        <w:ind w:left="7528" w:hanging="461"/>
      </w:pPr>
      <w:rPr>
        <w:rFonts w:hint="default"/>
      </w:rPr>
    </w:lvl>
  </w:abstractNum>
  <w:abstractNum w:abstractNumId="2">
    <w:multiLevelType w:val="hybridMultilevel"/>
    <w:lvl w:ilvl="0">
      <w:start w:val="1"/>
      <w:numFmt w:val="lowerLetter"/>
      <w:lvlText w:val="%1)"/>
      <w:lvlJc w:val="left"/>
      <w:pPr>
        <w:ind w:left="935" w:hanging="185"/>
        <w:jc w:val="left"/>
      </w:pPr>
      <w:rPr>
        <w:rFonts w:hint="default" w:ascii="Calibri" w:hAnsi="Calibri" w:eastAsia="Calibri" w:cs="Calibri"/>
        <w:w w:val="104"/>
        <w:sz w:val="17"/>
        <w:szCs w:val="17"/>
      </w:rPr>
    </w:lvl>
    <w:lvl w:ilvl="1">
      <w:start w:val="0"/>
      <w:numFmt w:val="bullet"/>
      <w:lvlText w:val=""/>
      <w:lvlJc w:val="left"/>
      <w:pPr>
        <w:ind w:left="1113" w:hanging="220"/>
      </w:pPr>
      <w:rPr>
        <w:rFonts w:hint="default" w:ascii="Symbol" w:hAnsi="Symbol" w:eastAsia="Symbol" w:cs="Symbol"/>
        <w:w w:val="104"/>
        <w:sz w:val="17"/>
        <w:szCs w:val="17"/>
      </w:rPr>
    </w:lvl>
    <w:lvl w:ilvl="2">
      <w:start w:val="0"/>
      <w:numFmt w:val="bullet"/>
      <w:lvlText w:val="•"/>
      <w:lvlJc w:val="left"/>
      <w:pPr>
        <w:ind w:left="2030" w:hanging="220"/>
      </w:pPr>
      <w:rPr>
        <w:rFonts w:hint="default"/>
      </w:rPr>
    </w:lvl>
    <w:lvl w:ilvl="3">
      <w:start w:val="0"/>
      <w:numFmt w:val="bullet"/>
      <w:lvlText w:val="•"/>
      <w:lvlJc w:val="left"/>
      <w:pPr>
        <w:ind w:left="2940" w:hanging="220"/>
      </w:pPr>
      <w:rPr>
        <w:rFonts w:hint="default"/>
      </w:rPr>
    </w:lvl>
    <w:lvl w:ilvl="4">
      <w:start w:val="0"/>
      <w:numFmt w:val="bullet"/>
      <w:lvlText w:val="•"/>
      <w:lvlJc w:val="left"/>
      <w:pPr>
        <w:ind w:left="3850" w:hanging="220"/>
      </w:pPr>
      <w:rPr>
        <w:rFonts w:hint="default"/>
      </w:rPr>
    </w:lvl>
    <w:lvl w:ilvl="5">
      <w:start w:val="0"/>
      <w:numFmt w:val="bullet"/>
      <w:lvlText w:val="•"/>
      <w:lvlJc w:val="left"/>
      <w:pPr>
        <w:ind w:left="4760" w:hanging="220"/>
      </w:pPr>
      <w:rPr>
        <w:rFonts w:hint="default"/>
      </w:rPr>
    </w:lvl>
    <w:lvl w:ilvl="6">
      <w:start w:val="0"/>
      <w:numFmt w:val="bullet"/>
      <w:lvlText w:val="•"/>
      <w:lvlJc w:val="left"/>
      <w:pPr>
        <w:ind w:left="5670" w:hanging="220"/>
      </w:pPr>
      <w:rPr>
        <w:rFonts w:hint="default"/>
      </w:rPr>
    </w:lvl>
    <w:lvl w:ilvl="7">
      <w:start w:val="0"/>
      <w:numFmt w:val="bullet"/>
      <w:lvlText w:val="•"/>
      <w:lvlJc w:val="left"/>
      <w:pPr>
        <w:ind w:left="6580" w:hanging="220"/>
      </w:pPr>
      <w:rPr>
        <w:rFonts w:hint="default"/>
      </w:rPr>
    </w:lvl>
    <w:lvl w:ilvl="8">
      <w:start w:val="0"/>
      <w:numFmt w:val="bullet"/>
      <w:lvlText w:val="•"/>
      <w:lvlJc w:val="left"/>
      <w:pPr>
        <w:ind w:left="7490" w:hanging="220"/>
      </w:pPr>
      <w:rPr>
        <w:rFonts w:hint="default"/>
      </w:rPr>
    </w:lvl>
  </w:abstractNum>
  <w:abstractNum w:abstractNumId="1">
    <w:multiLevelType w:val="hybridMultilevel"/>
    <w:lvl w:ilvl="0">
      <w:start w:val="0"/>
      <w:numFmt w:val="bullet"/>
      <w:lvlText w:val=""/>
      <w:lvlJc w:val="left"/>
      <w:pPr>
        <w:ind w:left="971" w:hanging="568"/>
      </w:pPr>
      <w:rPr>
        <w:rFonts w:hint="default" w:ascii="Wingdings" w:hAnsi="Wingdings" w:eastAsia="Wingdings" w:cs="Wingdings"/>
        <w:w w:val="104"/>
        <w:sz w:val="17"/>
        <w:szCs w:val="17"/>
      </w:rPr>
    </w:lvl>
    <w:lvl w:ilvl="1">
      <w:start w:val="0"/>
      <w:numFmt w:val="bullet"/>
      <w:lvlText w:val="•"/>
      <w:lvlJc w:val="left"/>
      <w:pPr>
        <w:ind w:left="1813" w:hanging="568"/>
      </w:pPr>
      <w:rPr>
        <w:rFonts w:hint="default"/>
      </w:rPr>
    </w:lvl>
    <w:lvl w:ilvl="2">
      <w:start w:val="0"/>
      <w:numFmt w:val="bullet"/>
      <w:lvlText w:val="•"/>
      <w:lvlJc w:val="left"/>
      <w:pPr>
        <w:ind w:left="2646" w:hanging="568"/>
      </w:pPr>
      <w:rPr>
        <w:rFonts w:hint="default"/>
      </w:rPr>
    </w:lvl>
    <w:lvl w:ilvl="3">
      <w:start w:val="0"/>
      <w:numFmt w:val="bullet"/>
      <w:lvlText w:val="•"/>
      <w:lvlJc w:val="left"/>
      <w:pPr>
        <w:ind w:left="3479" w:hanging="568"/>
      </w:pPr>
      <w:rPr>
        <w:rFonts w:hint="default"/>
      </w:rPr>
    </w:lvl>
    <w:lvl w:ilvl="4">
      <w:start w:val="0"/>
      <w:numFmt w:val="bullet"/>
      <w:lvlText w:val="•"/>
      <w:lvlJc w:val="left"/>
      <w:pPr>
        <w:ind w:left="4312" w:hanging="568"/>
      </w:pPr>
      <w:rPr>
        <w:rFonts w:hint="default"/>
      </w:rPr>
    </w:lvl>
    <w:lvl w:ilvl="5">
      <w:start w:val="0"/>
      <w:numFmt w:val="bullet"/>
      <w:lvlText w:val="•"/>
      <w:lvlJc w:val="left"/>
      <w:pPr>
        <w:ind w:left="5145" w:hanging="568"/>
      </w:pPr>
      <w:rPr>
        <w:rFonts w:hint="default"/>
      </w:rPr>
    </w:lvl>
    <w:lvl w:ilvl="6">
      <w:start w:val="0"/>
      <w:numFmt w:val="bullet"/>
      <w:lvlText w:val="•"/>
      <w:lvlJc w:val="left"/>
      <w:pPr>
        <w:ind w:left="5978" w:hanging="568"/>
      </w:pPr>
      <w:rPr>
        <w:rFonts w:hint="default"/>
      </w:rPr>
    </w:lvl>
    <w:lvl w:ilvl="7">
      <w:start w:val="0"/>
      <w:numFmt w:val="bullet"/>
      <w:lvlText w:val="•"/>
      <w:lvlJc w:val="left"/>
      <w:pPr>
        <w:ind w:left="6811" w:hanging="568"/>
      </w:pPr>
      <w:rPr>
        <w:rFonts w:hint="default"/>
      </w:rPr>
    </w:lvl>
    <w:lvl w:ilvl="8">
      <w:start w:val="0"/>
      <w:numFmt w:val="bullet"/>
      <w:lvlText w:val="•"/>
      <w:lvlJc w:val="left"/>
      <w:pPr>
        <w:ind w:left="7644" w:hanging="568"/>
      </w:pPr>
      <w:rPr>
        <w:rFonts w:hint="default"/>
      </w:rPr>
    </w:lvl>
  </w:abstractNum>
  <w:abstractNum w:abstractNumId="0">
    <w:multiLevelType w:val="hybridMultilevel"/>
    <w:lvl w:ilvl="0">
      <w:start w:val="1"/>
      <w:numFmt w:val="decimal"/>
      <w:lvlText w:val="%1."/>
      <w:lvlJc w:val="left"/>
      <w:pPr>
        <w:ind w:left="971" w:hanging="568"/>
        <w:jc w:val="left"/>
      </w:pPr>
      <w:rPr>
        <w:rFonts w:hint="default" w:ascii="Calibri" w:hAnsi="Calibri" w:eastAsia="Calibri" w:cs="Calibri"/>
        <w:b/>
        <w:bCs/>
        <w:spacing w:val="-2"/>
        <w:w w:val="100"/>
        <w:sz w:val="24"/>
        <w:szCs w:val="24"/>
      </w:rPr>
    </w:lvl>
    <w:lvl w:ilvl="1">
      <w:start w:val="1"/>
      <w:numFmt w:val="decimal"/>
      <w:lvlText w:val="%1.%2."/>
      <w:lvlJc w:val="left"/>
      <w:pPr>
        <w:ind w:left="728" w:hanging="326"/>
        <w:jc w:val="left"/>
      </w:pPr>
      <w:rPr>
        <w:rFonts w:hint="default" w:ascii="Calibri" w:hAnsi="Calibri" w:eastAsia="Calibri" w:cs="Calibri"/>
        <w:b/>
        <w:bCs/>
        <w:i/>
        <w:spacing w:val="0"/>
        <w:w w:val="104"/>
        <w:sz w:val="17"/>
        <w:szCs w:val="17"/>
      </w:rPr>
    </w:lvl>
    <w:lvl w:ilvl="2">
      <w:start w:val="0"/>
      <w:numFmt w:val="bullet"/>
      <w:lvlText w:val="-"/>
      <w:lvlJc w:val="left"/>
      <w:pPr>
        <w:ind w:left="1127" w:hanging="348"/>
      </w:pPr>
      <w:rPr>
        <w:rFonts w:hint="default" w:ascii="Calibri" w:hAnsi="Calibri" w:eastAsia="Calibri" w:cs="Calibri"/>
        <w:w w:val="104"/>
        <w:sz w:val="17"/>
        <w:szCs w:val="17"/>
      </w:rPr>
    </w:lvl>
    <w:lvl w:ilvl="3">
      <w:start w:val="0"/>
      <w:numFmt w:val="bullet"/>
      <w:lvlText w:val="•"/>
      <w:lvlJc w:val="left"/>
      <w:pPr>
        <w:ind w:left="2143" w:hanging="348"/>
      </w:pPr>
      <w:rPr>
        <w:rFonts w:hint="default"/>
      </w:rPr>
    </w:lvl>
    <w:lvl w:ilvl="4">
      <w:start w:val="0"/>
      <w:numFmt w:val="bullet"/>
      <w:lvlText w:val="•"/>
      <w:lvlJc w:val="left"/>
      <w:pPr>
        <w:ind w:left="3167" w:hanging="348"/>
      </w:pPr>
      <w:rPr>
        <w:rFonts w:hint="default"/>
      </w:rPr>
    </w:lvl>
    <w:lvl w:ilvl="5">
      <w:start w:val="0"/>
      <w:numFmt w:val="bullet"/>
      <w:lvlText w:val="•"/>
      <w:lvlJc w:val="left"/>
      <w:pPr>
        <w:ind w:left="4191" w:hanging="348"/>
      </w:pPr>
      <w:rPr>
        <w:rFonts w:hint="default"/>
      </w:rPr>
    </w:lvl>
    <w:lvl w:ilvl="6">
      <w:start w:val="0"/>
      <w:numFmt w:val="bullet"/>
      <w:lvlText w:val="•"/>
      <w:lvlJc w:val="left"/>
      <w:pPr>
        <w:ind w:left="5215" w:hanging="348"/>
      </w:pPr>
      <w:rPr>
        <w:rFonts w:hint="default"/>
      </w:rPr>
    </w:lvl>
    <w:lvl w:ilvl="7">
      <w:start w:val="0"/>
      <w:numFmt w:val="bullet"/>
      <w:lvlText w:val="•"/>
      <w:lvlJc w:val="left"/>
      <w:pPr>
        <w:ind w:left="6238" w:hanging="348"/>
      </w:pPr>
      <w:rPr>
        <w:rFonts w:hint="default"/>
      </w:rPr>
    </w:lvl>
    <w:lvl w:ilvl="8">
      <w:start w:val="0"/>
      <w:numFmt w:val="bullet"/>
      <w:lvlText w:val="•"/>
      <w:lvlJc w:val="left"/>
      <w:pPr>
        <w:ind w:left="7262" w:hanging="348"/>
      </w:pPr>
      <w:rPr>
        <w:rFonts w:hint="default"/>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17"/>
      <w:szCs w:val="17"/>
    </w:rPr>
  </w:style>
  <w:style w:styleId="Heading1" w:type="paragraph">
    <w:name w:val="Heading 1"/>
    <w:basedOn w:val="Normal"/>
    <w:uiPriority w:val="1"/>
    <w:qFormat/>
    <w:pPr>
      <w:ind w:left="971" w:hanging="569"/>
      <w:outlineLvl w:val="1"/>
    </w:pPr>
    <w:rPr>
      <w:rFonts w:ascii="Calibri" w:hAnsi="Calibri" w:eastAsia="Calibri" w:cs="Calibri"/>
      <w:b/>
      <w:bCs/>
      <w:sz w:val="24"/>
      <w:szCs w:val="24"/>
    </w:rPr>
  </w:style>
  <w:style w:styleId="Heading2" w:type="paragraph">
    <w:name w:val="Heading 2"/>
    <w:basedOn w:val="Normal"/>
    <w:uiPriority w:val="1"/>
    <w:qFormat/>
    <w:pPr>
      <w:spacing w:before="59"/>
      <w:ind w:left="1929" w:right="1938"/>
      <w:jc w:val="center"/>
      <w:outlineLvl w:val="2"/>
    </w:pPr>
    <w:rPr>
      <w:rFonts w:ascii="Calibri" w:hAnsi="Calibri" w:eastAsia="Calibri" w:cs="Calibri"/>
      <w:b/>
      <w:bCs/>
      <w:sz w:val="20"/>
      <w:szCs w:val="20"/>
    </w:rPr>
  </w:style>
  <w:style w:styleId="Heading3" w:type="paragraph">
    <w:name w:val="Heading 3"/>
    <w:basedOn w:val="Normal"/>
    <w:uiPriority w:val="1"/>
    <w:qFormat/>
    <w:pPr>
      <w:ind w:left="403"/>
      <w:outlineLvl w:val="3"/>
    </w:pPr>
    <w:rPr>
      <w:rFonts w:ascii="Calibri" w:hAnsi="Calibri" w:eastAsia="Calibri" w:cs="Calibri"/>
      <w:b/>
      <w:bCs/>
      <w:sz w:val="17"/>
      <w:szCs w:val="17"/>
    </w:rPr>
  </w:style>
  <w:style w:styleId="Heading4" w:type="paragraph">
    <w:name w:val="Heading 4"/>
    <w:basedOn w:val="Normal"/>
    <w:uiPriority w:val="1"/>
    <w:qFormat/>
    <w:pPr>
      <w:ind w:left="403" w:hanging="326"/>
      <w:outlineLvl w:val="4"/>
    </w:pPr>
    <w:rPr>
      <w:rFonts w:ascii="Calibri" w:hAnsi="Calibri" w:eastAsia="Calibri" w:cs="Calibri"/>
      <w:b/>
      <w:bCs/>
      <w:i/>
      <w:sz w:val="17"/>
      <w:szCs w:val="17"/>
    </w:rPr>
  </w:style>
  <w:style w:styleId="ListParagraph" w:type="paragraph">
    <w:name w:val="List Paragraph"/>
    <w:basedOn w:val="Normal"/>
    <w:uiPriority w:val="1"/>
    <w:qFormat/>
    <w:pPr>
      <w:ind w:left="971" w:hanging="326"/>
    </w:pPr>
    <w:rPr>
      <w:rFonts w:ascii="Calibri" w:hAnsi="Calibri" w:eastAsia="Calibri" w:cs="Calibri"/>
    </w:rPr>
  </w:style>
  <w:style w:styleId="TableParagraph" w:type="paragraph">
    <w:name w:val="Table Paragraph"/>
    <w:basedOn w:val="Normal"/>
    <w:uiPriority w:val="1"/>
    <w:qFormat/>
    <w:pPr>
      <w:spacing w:before="45"/>
      <w:jc w:val="righ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FranRoPe</dc:creator>
  <dc:title>Microsoft Word - 1091 - Portal de Transparencia - MCM de Los Realejos.docx</dc:title>
  <dcterms:created xsi:type="dcterms:W3CDTF">2026-06-16T11:24:41Z</dcterms:created>
  <dcterms:modified xsi:type="dcterms:W3CDTF">2026-06-16T11:24:41Z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Creator">
    <vt:lpwstr>Microsoft® Word para Microsoft 365</vt:lpwstr>
  </property>
  <property fmtid="{D5CDD505-2E9C-101B-9397-08002B2CF9AE}" pid="4" name="LastSaved">
    <vt:filetime>2026-06-16T00:00:00Z</vt:filetime>
  </property>
</Properties>
</file>