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D703" w14:textId="77777777" w:rsidR="00BD576D" w:rsidRDefault="00BD576D">
      <w:pPr>
        <w:rPr>
          <w:sz w:val="20"/>
        </w:rPr>
      </w:pPr>
    </w:p>
    <w:p w14:paraId="3A1E3761" w14:textId="5A8703A6" w:rsidR="005A0B63" w:rsidRDefault="005A0B63" w:rsidP="005A0B63">
      <w:pPr>
        <w:jc w:val="both"/>
        <w:rPr>
          <w:b/>
          <w:bCs/>
          <w:sz w:val="28"/>
          <w:szCs w:val="28"/>
        </w:rPr>
      </w:pPr>
      <w:r w:rsidRPr="005A0B63">
        <w:rPr>
          <w:b/>
          <w:bCs/>
          <w:sz w:val="28"/>
          <w:szCs w:val="28"/>
        </w:rPr>
        <w:t>1</w:t>
      </w:r>
      <w:r w:rsidR="006F1DDB">
        <w:rPr>
          <w:b/>
          <w:bCs/>
          <w:sz w:val="28"/>
          <w:szCs w:val="28"/>
        </w:rPr>
        <w:t>1</w:t>
      </w:r>
      <w:r w:rsidRPr="005A0B63">
        <w:rPr>
          <w:b/>
          <w:bCs/>
          <w:sz w:val="28"/>
          <w:szCs w:val="28"/>
        </w:rPr>
        <w:t>52. Datos estadísticos sobre el porcentaje en volumen presupuestario de contratos adjudicados a través de cada uno de los procedimientos previstos en la legislación de contratos del sector público:</w:t>
      </w:r>
    </w:p>
    <w:p w14:paraId="4B193393" w14:textId="69D61D40" w:rsidR="00620108" w:rsidRPr="00620108" w:rsidRDefault="00620108" w:rsidP="005A0B63">
      <w:pPr>
        <w:jc w:val="both"/>
        <w:rPr>
          <w:sz w:val="28"/>
          <w:szCs w:val="28"/>
        </w:rPr>
      </w:pPr>
      <w:r w:rsidRPr="00620108">
        <w:rPr>
          <w:sz w:val="28"/>
          <w:szCs w:val="28"/>
        </w:rPr>
        <w:t>Datos correspondientes al ejercicio 2025:</w:t>
      </w:r>
    </w:p>
    <w:p w14:paraId="70776219" w14:textId="01BFE790" w:rsidR="00C72D70" w:rsidRPr="00620108" w:rsidRDefault="00C72D70" w:rsidP="00C72D70">
      <w:pPr>
        <w:jc w:val="both"/>
        <w:rPr>
          <w:rFonts w:ascii="Calibri" w:eastAsia="Times New Roman" w:hAnsi="Calibri" w:cs="Calibri"/>
          <w:color w:val="000000"/>
          <w:sz w:val="28"/>
          <w:szCs w:val="28"/>
          <w:lang w:eastAsia="es-ES"/>
        </w:rPr>
      </w:pPr>
      <w:r w:rsidRPr="00620108">
        <w:rPr>
          <w:sz w:val="28"/>
          <w:szCs w:val="28"/>
        </w:rPr>
        <w:t xml:space="preserve">Presupuesto: </w:t>
      </w:r>
      <w:r w:rsidRPr="00620108">
        <w:rPr>
          <w:rFonts w:ascii="Calibri" w:eastAsia="Times New Roman" w:hAnsi="Calibri" w:cs="Calibri"/>
          <w:b/>
          <w:color w:val="000000"/>
          <w:sz w:val="28"/>
          <w:szCs w:val="28"/>
          <w:lang w:eastAsia="es-ES"/>
        </w:rPr>
        <w:t>1.</w:t>
      </w:r>
      <w:r w:rsidR="004679BF" w:rsidRPr="00620108">
        <w:rPr>
          <w:rFonts w:ascii="Calibri" w:eastAsia="Times New Roman" w:hAnsi="Calibri" w:cs="Calibri"/>
          <w:b/>
          <w:color w:val="000000"/>
          <w:sz w:val="28"/>
          <w:szCs w:val="28"/>
          <w:lang w:eastAsia="es-ES"/>
        </w:rPr>
        <w:t>103.587,80</w:t>
      </w:r>
      <w:r w:rsidRPr="00620108">
        <w:rPr>
          <w:rFonts w:ascii="Calibri" w:eastAsia="Times New Roman" w:hAnsi="Calibri" w:cs="Calibri"/>
          <w:b/>
          <w:color w:val="000000"/>
          <w:sz w:val="28"/>
          <w:szCs w:val="28"/>
          <w:lang w:eastAsia="es-ES"/>
        </w:rPr>
        <w:t xml:space="preserve"> euros.</w:t>
      </w:r>
    </w:p>
    <w:p w14:paraId="2EFB4967" w14:textId="77777777" w:rsidR="00C72D70" w:rsidRPr="00620108" w:rsidRDefault="00C72D70" w:rsidP="00C72D70">
      <w:pPr>
        <w:jc w:val="both"/>
        <w:rPr>
          <w:rFonts w:ascii="Calibri" w:eastAsia="Times New Roman" w:hAnsi="Calibri" w:cs="Calibri"/>
          <w:color w:val="000000"/>
          <w:sz w:val="28"/>
          <w:szCs w:val="28"/>
          <w:lang w:eastAsia="es-ES"/>
        </w:rPr>
      </w:pPr>
      <w:r w:rsidRPr="00620108">
        <w:rPr>
          <w:sz w:val="28"/>
          <w:szCs w:val="28"/>
        </w:rPr>
        <w:t>Porcentaje en volumen presupuestario.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126"/>
        <w:gridCol w:w="1843"/>
        <w:gridCol w:w="992"/>
      </w:tblGrid>
      <w:tr w:rsidR="00C72D70" w:rsidRPr="00620108" w14:paraId="18BB9394" w14:textId="77777777" w:rsidTr="00620108">
        <w:trPr>
          <w:trHeight w:val="290"/>
        </w:trPr>
        <w:tc>
          <w:tcPr>
            <w:tcW w:w="3256" w:type="dxa"/>
            <w:shd w:val="clear" w:color="auto" w:fill="F2F2F2" w:themeFill="background1" w:themeFillShade="F2"/>
            <w:noWrap/>
            <w:vAlign w:val="bottom"/>
            <w:hideMark/>
          </w:tcPr>
          <w:p w14:paraId="793BB2AE" w14:textId="77777777" w:rsidR="00C72D70" w:rsidRPr="00620108" w:rsidRDefault="00C72D70" w:rsidP="00A80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Tipo</w:t>
            </w:r>
          </w:p>
        </w:tc>
        <w:tc>
          <w:tcPr>
            <w:tcW w:w="2126" w:type="dxa"/>
            <w:shd w:val="clear" w:color="auto" w:fill="F2F2F2" w:themeFill="background1" w:themeFillShade="F2"/>
            <w:noWrap/>
            <w:vAlign w:val="bottom"/>
            <w:hideMark/>
          </w:tcPr>
          <w:p w14:paraId="0242BB3F" w14:textId="77777777" w:rsidR="00C72D70" w:rsidRPr="00620108" w:rsidRDefault="00C72D70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Nº contratos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bottom"/>
            <w:hideMark/>
          </w:tcPr>
          <w:p w14:paraId="55160114" w14:textId="77777777" w:rsidR="00C72D70" w:rsidRPr="00620108" w:rsidRDefault="00C72D70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Importe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vAlign w:val="bottom"/>
            <w:hideMark/>
          </w:tcPr>
          <w:p w14:paraId="48344804" w14:textId="77777777" w:rsidR="00C72D70" w:rsidRPr="00620108" w:rsidRDefault="00C72D70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% (*)</w:t>
            </w:r>
          </w:p>
        </w:tc>
      </w:tr>
      <w:tr w:rsidR="00C72D70" w:rsidRPr="00620108" w14:paraId="5C77B5DB" w14:textId="77777777" w:rsidTr="00620108">
        <w:trPr>
          <w:trHeight w:val="290"/>
        </w:trPr>
        <w:tc>
          <w:tcPr>
            <w:tcW w:w="3256" w:type="dxa"/>
            <w:noWrap/>
            <w:vAlign w:val="bottom"/>
            <w:hideMark/>
          </w:tcPr>
          <w:p w14:paraId="6F194B3C" w14:textId="77777777" w:rsidR="00C72D70" w:rsidRPr="00620108" w:rsidRDefault="00C72D70" w:rsidP="00A80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Contratación menor</w:t>
            </w:r>
          </w:p>
        </w:tc>
        <w:tc>
          <w:tcPr>
            <w:tcW w:w="2126" w:type="dxa"/>
            <w:noWrap/>
            <w:vAlign w:val="bottom"/>
            <w:hideMark/>
          </w:tcPr>
          <w:p w14:paraId="38683F06" w14:textId="24B0FBC7" w:rsidR="00C72D70" w:rsidRPr="00620108" w:rsidRDefault="00466237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1843" w:type="dxa"/>
            <w:noWrap/>
            <w:vAlign w:val="bottom"/>
            <w:hideMark/>
          </w:tcPr>
          <w:p w14:paraId="12469755" w14:textId="4C2196C5" w:rsidR="00C72D70" w:rsidRPr="00620108" w:rsidRDefault="00466237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992" w:type="dxa"/>
            <w:noWrap/>
            <w:vAlign w:val="bottom"/>
            <w:hideMark/>
          </w:tcPr>
          <w:p w14:paraId="39285CAA" w14:textId="3FA1DE4E" w:rsidR="00C72D70" w:rsidRPr="00620108" w:rsidRDefault="00C72D70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</w:p>
        </w:tc>
      </w:tr>
      <w:tr w:rsidR="00C72D70" w:rsidRPr="00620108" w14:paraId="264321B4" w14:textId="77777777" w:rsidTr="00620108">
        <w:trPr>
          <w:trHeight w:val="290"/>
        </w:trPr>
        <w:tc>
          <w:tcPr>
            <w:tcW w:w="3256" w:type="dxa"/>
            <w:noWrap/>
            <w:vAlign w:val="bottom"/>
            <w:hideMark/>
          </w:tcPr>
          <w:p w14:paraId="77887310" w14:textId="77777777" w:rsidR="00C72D70" w:rsidRPr="00620108" w:rsidRDefault="00C72D70" w:rsidP="00A80B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Procedimiento Abierto</w:t>
            </w:r>
          </w:p>
        </w:tc>
        <w:tc>
          <w:tcPr>
            <w:tcW w:w="2126" w:type="dxa"/>
            <w:noWrap/>
            <w:vAlign w:val="bottom"/>
            <w:hideMark/>
          </w:tcPr>
          <w:p w14:paraId="48B32B37" w14:textId="30462238" w:rsidR="00C72D70" w:rsidRPr="00620108" w:rsidRDefault="00466237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3</w:t>
            </w:r>
          </w:p>
        </w:tc>
        <w:tc>
          <w:tcPr>
            <w:tcW w:w="1843" w:type="dxa"/>
            <w:noWrap/>
            <w:vAlign w:val="bottom"/>
            <w:hideMark/>
          </w:tcPr>
          <w:p w14:paraId="1C8DC74E" w14:textId="7AAD57D6" w:rsidR="00C72D70" w:rsidRPr="00620108" w:rsidRDefault="00466237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52.911,50 €</w:t>
            </w:r>
          </w:p>
        </w:tc>
        <w:tc>
          <w:tcPr>
            <w:tcW w:w="992" w:type="dxa"/>
            <w:noWrap/>
            <w:vAlign w:val="bottom"/>
            <w:hideMark/>
          </w:tcPr>
          <w:p w14:paraId="0623CB83" w14:textId="3B8E6671" w:rsidR="00C72D70" w:rsidRPr="00620108" w:rsidRDefault="002547DC" w:rsidP="00A80B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</w:pPr>
            <w:r w:rsidRPr="0062010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ES"/>
              </w:rPr>
              <w:t>4,79 %</w:t>
            </w:r>
          </w:p>
        </w:tc>
      </w:tr>
    </w:tbl>
    <w:p w14:paraId="7870CA4F" w14:textId="77777777" w:rsidR="00C72D70" w:rsidRPr="00620108" w:rsidRDefault="00C72D70" w:rsidP="00C72D70">
      <w:pPr>
        <w:jc w:val="both"/>
        <w:rPr>
          <w:rFonts w:ascii="Calibri" w:eastAsia="Times New Roman" w:hAnsi="Calibri" w:cs="Calibri"/>
          <w:color w:val="000000"/>
          <w:sz w:val="28"/>
          <w:szCs w:val="28"/>
          <w:lang w:eastAsia="es-ES"/>
        </w:rPr>
      </w:pPr>
      <w:r w:rsidRPr="00620108">
        <w:rPr>
          <w:rFonts w:ascii="Calibri" w:eastAsia="Times New Roman" w:hAnsi="Calibri" w:cs="Calibri"/>
          <w:color w:val="000000"/>
          <w:sz w:val="28"/>
          <w:szCs w:val="28"/>
          <w:lang w:eastAsia="es-ES"/>
        </w:rPr>
        <w:t>(*) Porcentaje sobre el total del presupuesto del Organismo.</w:t>
      </w:r>
    </w:p>
    <w:p w14:paraId="36E715E5" w14:textId="77777777" w:rsidR="00A609CC" w:rsidRDefault="00A609CC" w:rsidP="00D01788">
      <w:pPr>
        <w:jc w:val="both"/>
        <w:rPr>
          <w:rFonts w:ascii="Calibri" w:eastAsia="Times New Roman" w:hAnsi="Calibri" w:cs="Calibri"/>
          <w:color w:val="000000"/>
          <w:sz w:val="20"/>
          <w:szCs w:val="24"/>
          <w:lang w:eastAsia="es-ES"/>
        </w:rPr>
      </w:pPr>
    </w:p>
    <w:p w14:paraId="5A3FD000" w14:textId="77777777" w:rsidR="00A609CC" w:rsidRPr="00D01788" w:rsidRDefault="00A609CC" w:rsidP="00D01788">
      <w:pPr>
        <w:jc w:val="both"/>
        <w:rPr>
          <w:rFonts w:ascii="Calibri" w:eastAsia="Times New Roman" w:hAnsi="Calibri" w:cs="Calibri"/>
          <w:color w:val="000000"/>
          <w:sz w:val="20"/>
          <w:szCs w:val="24"/>
          <w:lang w:eastAsia="es-ES"/>
        </w:rPr>
      </w:pPr>
    </w:p>
    <w:sectPr w:rsidR="00A609CC" w:rsidRPr="00D01788" w:rsidSect="005A0B6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9534" w14:textId="77777777" w:rsidR="00BC08D1" w:rsidRDefault="00BC08D1" w:rsidP="005A0B63">
      <w:pPr>
        <w:spacing w:after="0" w:line="240" w:lineRule="auto"/>
      </w:pPr>
      <w:r>
        <w:separator/>
      </w:r>
    </w:p>
  </w:endnote>
  <w:endnote w:type="continuationSeparator" w:id="0">
    <w:p w14:paraId="717AF8D4" w14:textId="77777777" w:rsidR="00BC08D1" w:rsidRDefault="00BC08D1" w:rsidP="005A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6833" w14:textId="77777777" w:rsidR="00BC08D1" w:rsidRDefault="00BC08D1" w:rsidP="005A0B63">
      <w:pPr>
        <w:spacing w:after="0" w:line="240" w:lineRule="auto"/>
      </w:pPr>
      <w:r>
        <w:separator/>
      </w:r>
    </w:p>
  </w:footnote>
  <w:footnote w:type="continuationSeparator" w:id="0">
    <w:p w14:paraId="477B7B2E" w14:textId="77777777" w:rsidR="00BC08D1" w:rsidRDefault="00BC08D1" w:rsidP="005A0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F45E" w14:textId="3FA1A219" w:rsidR="005A0B63" w:rsidRDefault="005A0B6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6D4777E" wp14:editId="1102704E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2133600" cy="885825"/>
          <wp:effectExtent l="0" t="0" r="0" b="9525"/>
          <wp:wrapSquare wrapText="bothSides"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76D"/>
    <w:rsid w:val="001A7ED7"/>
    <w:rsid w:val="00252362"/>
    <w:rsid w:val="002547DC"/>
    <w:rsid w:val="00347CAE"/>
    <w:rsid w:val="00404421"/>
    <w:rsid w:val="00466237"/>
    <w:rsid w:val="004679BF"/>
    <w:rsid w:val="004804FA"/>
    <w:rsid w:val="00492BC2"/>
    <w:rsid w:val="004C401A"/>
    <w:rsid w:val="005A0B63"/>
    <w:rsid w:val="00620108"/>
    <w:rsid w:val="006F1DDB"/>
    <w:rsid w:val="00754A67"/>
    <w:rsid w:val="00774F74"/>
    <w:rsid w:val="00851D08"/>
    <w:rsid w:val="009B262D"/>
    <w:rsid w:val="009E4D37"/>
    <w:rsid w:val="00A609CC"/>
    <w:rsid w:val="00A917AD"/>
    <w:rsid w:val="00BA3611"/>
    <w:rsid w:val="00BA3A61"/>
    <w:rsid w:val="00BC08D1"/>
    <w:rsid w:val="00BD0318"/>
    <w:rsid w:val="00BD576D"/>
    <w:rsid w:val="00C00ACB"/>
    <w:rsid w:val="00C72D70"/>
    <w:rsid w:val="00D01788"/>
    <w:rsid w:val="00D14808"/>
    <w:rsid w:val="00DF2AA6"/>
    <w:rsid w:val="00DF4C68"/>
    <w:rsid w:val="00E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DA974"/>
  <w15:chartTrackingRefBased/>
  <w15:docId w15:val="{589AD2D4-DB74-41ED-ABF9-4D2D4612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57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4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C6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A0B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0B63"/>
  </w:style>
  <w:style w:type="paragraph" w:styleId="Piedepgina">
    <w:name w:val="footer"/>
    <w:basedOn w:val="Normal"/>
    <w:link w:val="PiedepginaCar"/>
    <w:uiPriority w:val="99"/>
    <w:unhideWhenUsed/>
    <w:rsid w:val="005A0B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B63"/>
  </w:style>
  <w:style w:type="paragraph" w:styleId="Sinespaciado">
    <w:name w:val="No Spacing"/>
    <w:uiPriority w:val="1"/>
    <w:qFormat/>
    <w:rsid w:val="005A0B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Rodríguez Pérez</dc:creator>
  <cp:keywords/>
  <dc:description/>
  <cp:lastModifiedBy>Eduardo González González</cp:lastModifiedBy>
  <cp:revision>8</cp:revision>
  <cp:lastPrinted>2024-01-29T13:36:00Z</cp:lastPrinted>
  <dcterms:created xsi:type="dcterms:W3CDTF">2026-03-20T11:51:00Z</dcterms:created>
  <dcterms:modified xsi:type="dcterms:W3CDTF">2026-04-09T08:59:00Z</dcterms:modified>
</cp:coreProperties>
</file>