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B29B" w14:textId="167CAA03" w:rsidR="00B92569" w:rsidRDefault="00EF480F" w:rsidP="00247197">
      <w:pPr>
        <w:spacing w:after="0"/>
        <w:jc w:val="both"/>
        <w:rPr>
          <w:rFonts w:cstheme="minorHAnsi"/>
          <w:b/>
          <w:sz w:val="28"/>
          <w:szCs w:val="28"/>
        </w:rPr>
      </w:pPr>
      <w:r w:rsidRPr="00024B53">
        <w:rPr>
          <w:rFonts w:cstheme="minorHAnsi"/>
          <w:b/>
          <w:sz w:val="28"/>
          <w:szCs w:val="28"/>
        </w:rPr>
        <w:t>1001.</w:t>
      </w:r>
      <w:r w:rsidR="00247197" w:rsidRPr="00024B53">
        <w:rPr>
          <w:rFonts w:cstheme="minorHAnsi"/>
          <w:b/>
          <w:sz w:val="28"/>
          <w:szCs w:val="28"/>
        </w:rPr>
        <w:t xml:space="preserve"> Información general de la entidad: institucional, histórica, económica, etc.:</w:t>
      </w:r>
    </w:p>
    <w:p w14:paraId="4A5DB79E" w14:textId="77777777" w:rsidR="004D182C" w:rsidRPr="00024B53" w:rsidRDefault="004D182C" w:rsidP="00247197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190F4D5C" w14:textId="77777777" w:rsidR="00167B10" w:rsidRDefault="00B92569" w:rsidP="00167B10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La Fundación FUNCANORTE nace con el objetivo de promover la Cultura Musical y las Artes en el Norte de Tenerife.</w:t>
      </w:r>
    </w:p>
    <w:p w14:paraId="0C9DA530" w14:textId="77777777" w:rsidR="004D182C" w:rsidRPr="00024B53" w:rsidRDefault="004D182C" w:rsidP="00167B10">
      <w:pPr>
        <w:spacing w:after="0" w:line="360" w:lineRule="auto"/>
        <w:jc w:val="both"/>
        <w:rPr>
          <w:rFonts w:cstheme="minorHAnsi"/>
          <w:sz w:val="28"/>
          <w:szCs w:val="28"/>
        </w:rPr>
      </w:pPr>
    </w:p>
    <w:p w14:paraId="4F493C42" w14:textId="2ECEEF91" w:rsidR="00167B10" w:rsidRPr="00024B53" w:rsidRDefault="00B92569" w:rsidP="00167B10">
      <w:pPr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024B53">
        <w:rPr>
          <w:rFonts w:cstheme="minorHAnsi"/>
          <w:sz w:val="28"/>
          <w:szCs w:val="28"/>
        </w:rPr>
        <w:t xml:space="preserve"> </w:t>
      </w:r>
      <w:r w:rsidR="00167B10" w:rsidRPr="00024B53">
        <w:rPr>
          <w:rFonts w:cstheme="minorHAnsi"/>
          <w:b/>
          <w:sz w:val="28"/>
          <w:szCs w:val="28"/>
        </w:rPr>
        <w:t>Historia.</w:t>
      </w:r>
    </w:p>
    <w:p w14:paraId="479998CD" w14:textId="77777777" w:rsidR="00B92569" w:rsidRDefault="00B92569" w:rsidP="00167B10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En fecha 24 de enero de 2012 se constituye la Fundación Canaria para la promoción de la Cultura Musical y las Artes en el Norte de Tenerife, cuyo acrónimo es “Funcanorte” (CIF: G76564442) que es una fundación privada de Interés General creada por los Ayuntamiento de Los Realejos e Icod de Los Vinos al amparo de la Ley Territorial 2/1998, de 6 de abril, de Fundaciones de Canarias, teniendo como fin fundacional la sensibilización, educación y formación de los ciudadanos en materia musical, teatral y artística, así como la promoción y el desarrollo de las artes en general, así como cualquier otra actividad relacionada con la finalidad fundacional</w:t>
      </w:r>
      <w:r w:rsidR="00167B10" w:rsidRPr="00024B53">
        <w:rPr>
          <w:rFonts w:cstheme="minorHAnsi"/>
          <w:sz w:val="28"/>
          <w:szCs w:val="28"/>
        </w:rPr>
        <w:t>.</w:t>
      </w:r>
    </w:p>
    <w:p w14:paraId="54093511" w14:textId="77777777" w:rsidR="004D182C" w:rsidRPr="00024B53" w:rsidRDefault="004D182C" w:rsidP="00167B10">
      <w:pPr>
        <w:spacing w:after="0" w:line="360" w:lineRule="auto"/>
        <w:jc w:val="both"/>
        <w:rPr>
          <w:rFonts w:cstheme="minorHAnsi"/>
          <w:sz w:val="28"/>
          <w:szCs w:val="28"/>
        </w:rPr>
      </w:pPr>
    </w:p>
    <w:p w14:paraId="7712C91A" w14:textId="77777777" w:rsidR="00167B10" w:rsidRPr="00024B53" w:rsidRDefault="00167B10" w:rsidP="00167B10">
      <w:pPr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024B53">
        <w:rPr>
          <w:rFonts w:cstheme="minorHAnsi"/>
          <w:b/>
          <w:sz w:val="28"/>
          <w:szCs w:val="28"/>
        </w:rPr>
        <w:t>Necesidades formativas.</w:t>
      </w:r>
    </w:p>
    <w:p w14:paraId="26B9DD3D" w14:textId="77777777" w:rsidR="00167B10" w:rsidRPr="00024B53" w:rsidRDefault="00167B10" w:rsidP="00167B10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La Escuela dispone de una amplia oferta docente diseñada para atender de manera personalizada las necesidades formativas de los alumnos en el ámbito de la música y de la Danza.</w:t>
      </w:r>
    </w:p>
    <w:p w14:paraId="43692B20" w14:textId="77777777" w:rsidR="00167B10" w:rsidRDefault="00167B10" w:rsidP="00167B10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Dividida en tres grandes áreas (música clásica, música moderna y danza), la relación de especialidades que se imparten son las siguientes:</w:t>
      </w:r>
    </w:p>
    <w:p w14:paraId="1D22B541" w14:textId="77777777" w:rsidR="004D182C" w:rsidRPr="00024B53" w:rsidRDefault="004D182C" w:rsidP="00167B10">
      <w:pPr>
        <w:spacing w:after="0" w:line="360" w:lineRule="auto"/>
        <w:jc w:val="both"/>
        <w:rPr>
          <w:rFonts w:cstheme="minorHAnsi"/>
          <w:sz w:val="28"/>
          <w:szCs w:val="28"/>
        </w:rPr>
      </w:pPr>
    </w:p>
    <w:p w14:paraId="34A84CC8" w14:textId="77777777" w:rsidR="00167B10" w:rsidRPr="00024B53" w:rsidRDefault="00167B10" w:rsidP="00167B1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i/>
          <w:sz w:val="28"/>
          <w:szCs w:val="28"/>
        </w:rPr>
      </w:pPr>
      <w:r w:rsidRPr="00024B53">
        <w:rPr>
          <w:rFonts w:cstheme="minorHAnsi"/>
          <w:b/>
          <w:i/>
          <w:sz w:val="28"/>
          <w:szCs w:val="28"/>
        </w:rPr>
        <w:t>Especialidades de iniciación.</w:t>
      </w:r>
    </w:p>
    <w:p w14:paraId="37966C8C" w14:textId="77777777" w:rsidR="00167B10" w:rsidRPr="00024B53" w:rsidRDefault="00167B10" w:rsidP="00167B10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 xml:space="preserve">Esta área formativa, donde se integra la especialidad de Música y Movimiento, está diseñada para edades comprendidas entre los cuatro y los siete años. Su objetivo fundamental es desarrollar las capacidades auditivas y rítmicas de los </w:t>
      </w:r>
      <w:r w:rsidRPr="00024B53">
        <w:rPr>
          <w:rFonts w:cstheme="minorHAnsi"/>
          <w:sz w:val="28"/>
          <w:szCs w:val="28"/>
        </w:rPr>
        <w:lastRenderedPageBreak/>
        <w:t>niños, así como orientarlos en la elección del instrumento musical que mejor se adapte sus condiciones físicas y psicológicas.</w:t>
      </w:r>
    </w:p>
    <w:p w14:paraId="20CF132C" w14:textId="606F8BB2" w:rsidR="00B00E14" w:rsidRDefault="00B00E14" w:rsidP="00167B10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b/>
          <w:sz w:val="28"/>
          <w:szCs w:val="28"/>
        </w:rPr>
        <w:t>Especialidades</w:t>
      </w:r>
      <w:r w:rsidRPr="00024B53">
        <w:rPr>
          <w:rFonts w:cstheme="minorHAnsi"/>
          <w:b/>
          <w:sz w:val="28"/>
          <w:szCs w:val="28"/>
        </w:rPr>
        <w:sym w:font="Wingdings" w:char="F0E0"/>
      </w:r>
      <w:r w:rsidRPr="00024B53">
        <w:rPr>
          <w:rFonts w:cstheme="minorHAnsi"/>
          <w:sz w:val="28"/>
          <w:szCs w:val="28"/>
        </w:rPr>
        <w:t xml:space="preserve"> Música y movimiento.</w:t>
      </w:r>
    </w:p>
    <w:p w14:paraId="6CC3B098" w14:textId="77777777" w:rsidR="004D182C" w:rsidRPr="00024B53" w:rsidRDefault="004D182C" w:rsidP="00167B10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</w:p>
    <w:p w14:paraId="4BB4B903" w14:textId="77777777" w:rsidR="00167B10" w:rsidRPr="00024B53" w:rsidRDefault="00167B10" w:rsidP="00167B1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i/>
          <w:sz w:val="28"/>
          <w:szCs w:val="28"/>
        </w:rPr>
      </w:pPr>
      <w:r w:rsidRPr="00024B53">
        <w:rPr>
          <w:rFonts w:cstheme="minorHAnsi"/>
          <w:b/>
          <w:i/>
          <w:sz w:val="28"/>
          <w:szCs w:val="28"/>
        </w:rPr>
        <w:t>Especialidades instrumentales.</w:t>
      </w:r>
    </w:p>
    <w:p w14:paraId="6F2A7EA1" w14:textId="77777777" w:rsidR="00B00E14" w:rsidRPr="00024B53" w:rsidRDefault="00167B10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El Plan de Estudios de la Escuela se divide en tres niveles formativos (inicial, elemental y medio) que abarcan ocho cursos y dos áreas (música clásica y música moderna). Su objetivo es dotar a los alumnos de las habilidades técnicas necesarias para el ejercicio de la práctica instrumental.</w:t>
      </w:r>
    </w:p>
    <w:p w14:paraId="4C48DED3" w14:textId="77777777" w:rsidR="00B00E14" w:rsidRPr="00024B53" w:rsidRDefault="00167B10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La Escuela prevé dos tipos de enseñanza, destinadas tanto a quienes desean hacer de la música su profesión (mediante la preparación de las pruebas de ingreso en conservatorios u otros centros de enseñanza reglada), como quienes únicamente desean disfrutar de la exper</w:t>
      </w:r>
      <w:r w:rsidR="00B00E14" w:rsidRPr="00024B53">
        <w:rPr>
          <w:rFonts w:cstheme="minorHAnsi"/>
          <w:sz w:val="28"/>
          <w:szCs w:val="28"/>
        </w:rPr>
        <w:t>iencia musical a nivel amateur.</w:t>
      </w:r>
    </w:p>
    <w:p w14:paraId="229913B4" w14:textId="0D4CFA60" w:rsidR="00167B10" w:rsidRPr="00024B53" w:rsidRDefault="00167B10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 xml:space="preserve">La edad mínima para iniciar estudios instrumentales en la Escuela es de </w:t>
      </w:r>
      <w:r w:rsidR="00B2568E" w:rsidRPr="00024B53">
        <w:rPr>
          <w:rFonts w:cstheme="minorHAnsi"/>
          <w:sz w:val="28"/>
          <w:szCs w:val="28"/>
        </w:rPr>
        <w:t>8</w:t>
      </w:r>
      <w:r w:rsidRPr="00024B53">
        <w:rPr>
          <w:rFonts w:cstheme="minorHAnsi"/>
          <w:sz w:val="28"/>
          <w:szCs w:val="28"/>
        </w:rPr>
        <w:t xml:space="preserve"> años, sin que exista un límite máximo ni tampoco pruebas de ingreso o selección.</w:t>
      </w:r>
    </w:p>
    <w:p w14:paraId="6595AC11" w14:textId="77777777" w:rsidR="00B00E14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b/>
          <w:sz w:val="28"/>
          <w:szCs w:val="28"/>
        </w:rPr>
        <w:t>Especialidades</w:t>
      </w:r>
      <w:r w:rsidRPr="00024B53">
        <w:rPr>
          <w:rFonts w:cstheme="minorHAnsi"/>
          <w:b/>
          <w:sz w:val="28"/>
          <w:szCs w:val="28"/>
        </w:rPr>
        <w:sym w:font="Wingdings" w:char="F0E0"/>
      </w:r>
      <w:r w:rsidRPr="00024B53">
        <w:rPr>
          <w:rFonts w:cstheme="minorHAnsi"/>
          <w:sz w:val="28"/>
          <w:szCs w:val="28"/>
        </w:rPr>
        <w:t xml:space="preserve"> Piano, Violín, Guitarra Clásica y Eléctrica, Flauta Travesera, Clarinete, Saxofón, Batería y Bajo Eléctrico.</w:t>
      </w:r>
    </w:p>
    <w:p w14:paraId="0091BA3F" w14:textId="77777777" w:rsidR="004D182C" w:rsidRPr="00024B53" w:rsidRDefault="004D182C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</w:p>
    <w:p w14:paraId="39F6F38C" w14:textId="77777777" w:rsidR="00B00E14" w:rsidRPr="00024B53" w:rsidRDefault="00B00E14" w:rsidP="00B00E1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i/>
          <w:sz w:val="28"/>
          <w:szCs w:val="28"/>
        </w:rPr>
      </w:pPr>
      <w:r w:rsidRPr="00024B53">
        <w:rPr>
          <w:rFonts w:cstheme="minorHAnsi"/>
          <w:b/>
          <w:i/>
          <w:sz w:val="28"/>
          <w:szCs w:val="28"/>
        </w:rPr>
        <w:t>Formación Musical Complementaria.</w:t>
      </w:r>
    </w:p>
    <w:p w14:paraId="51EA26DD" w14:textId="77777777" w:rsidR="00B00E14" w:rsidRPr="00024B53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Las asignaturas que se integran en F.M.C tienen por objeto formar a los alumnos en el conocimiento teórico de la música a través de la lectura, entonación y análisis de las diferentes partituras, orientando este saber tanto a una mejor compresión del hecho musical en sí, como a una mayor excelencia en la práctica del instrumento.</w:t>
      </w:r>
    </w:p>
    <w:p w14:paraId="1EE1C06F" w14:textId="77777777" w:rsidR="00B00E14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b/>
          <w:sz w:val="28"/>
          <w:szCs w:val="28"/>
        </w:rPr>
        <w:t>Especialidades</w:t>
      </w:r>
      <w:r w:rsidRPr="00024B53">
        <w:rPr>
          <w:rFonts w:cstheme="minorHAnsi"/>
          <w:b/>
          <w:sz w:val="28"/>
          <w:szCs w:val="28"/>
        </w:rPr>
        <w:sym w:font="Wingdings" w:char="F0E0"/>
      </w:r>
      <w:r w:rsidRPr="00024B53">
        <w:rPr>
          <w:rFonts w:cstheme="minorHAnsi"/>
          <w:sz w:val="28"/>
          <w:szCs w:val="28"/>
        </w:rPr>
        <w:t xml:space="preserve"> Lenguaje Musical y Armonía.</w:t>
      </w:r>
    </w:p>
    <w:p w14:paraId="004DFE9A" w14:textId="77777777" w:rsidR="004D182C" w:rsidRDefault="004D182C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</w:p>
    <w:p w14:paraId="55A01520" w14:textId="77777777" w:rsidR="00B00E14" w:rsidRPr="00024B53" w:rsidRDefault="00B00E14" w:rsidP="00B37AF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024B53">
        <w:rPr>
          <w:rFonts w:cstheme="minorHAnsi"/>
          <w:b/>
          <w:i/>
          <w:sz w:val="28"/>
          <w:szCs w:val="28"/>
        </w:rPr>
        <w:lastRenderedPageBreak/>
        <w:t>Actividades Musicales de Conjunto.</w:t>
      </w:r>
    </w:p>
    <w:p w14:paraId="79574C4E" w14:textId="77777777" w:rsidR="00B00E14" w:rsidRPr="00024B53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Las especialidades que se engloban en este epígrafe comparten todo un mismo objetivo: iniciar y desarrollar en los alumnos las habilidades específicas propias de la práctica instrumental o vocal en grupo, propiciando al mismo tiempo las condiciones materiales necesarias para poder disfrutar la música como actividad no meramente individual.</w:t>
      </w:r>
    </w:p>
    <w:p w14:paraId="055055A3" w14:textId="173C1577" w:rsidR="00B00E14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b/>
          <w:sz w:val="28"/>
          <w:szCs w:val="28"/>
        </w:rPr>
        <w:t>Especialidades</w:t>
      </w:r>
      <w:r w:rsidRPr="00024B53">
        <w:rPr>
          <w:rFonts w:cstheme="minorHAnsi"/>
          <w:b/>
          <w:sz w:val="28"/>
          <w:szCs w:val="28"/>
        </w:rPr>
        <w:sym w:font="Wingdings" w:char="F0E0"/>
      </w:r>
      <w:r w:rsidRPr="00024B53">
        <w:rPr>
          <w:rFonts w:cstheme="minorHAnsi"/>
          <w:sz w:val="28"/>
          <w:szCs w:val="28"/>
        </w:rPr>
        <w:t xml:space="preserve"> Coro, Conjunto Instrumental Clásico, Conjunto de Instrumentos Orff y Conjunto Instrumental Moderno (ensamble).</w:t>
      </w:r>
    </w:p>
    <w:p w14:paraId="6EDF11A6" w14:textId="77777777" w:rsidR="004D182C" w:rsidRPr="00024B53" w:rsidRDefault="004D182C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</w:p>
    <w:p w14:paraId="75F1F7DF" w14:textId="77777777" w:rsidR="00B00E14" w:rsidRPr="00024B53" w:rsidRDefault="00B00E14" w:rsidP="00B00E1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i/>
          <w:sz w:val="28"/>
          <w:szCs w:val="28"/>
        </w:rPr>
      </w:pPr>
      <w:r w:rsidRPr="00024B53">
        <w:rPr>
          <w:rFonts w:cstheme="minorHAnsi"/>
          <w:b/>
          <w:i/>
          <w:sz w:val="28"/>
          <w:szCs w:val="28"/>
        </w:rPr>
        <w:t>Danza.</w:t>
      </w:r>
    </w:p>
    <w:p w14:paraId="5EBF25EA" w14:textId="77777777" w:rsidR="00B00E14" w:rsidRPr="00024B53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La danza, su estudio y su ejecución –para un público o para deleite personal- constituye lo que consideramos un paso fundamental en la educación, ya sea que se acerque uno a ella en edad temprana o en la adultez.</w:t>
      </w:r>
    </w:p>
    <w:p w14:paraId="661E5E3E" w14:textId="77777777" w:rsidR="00B00E14" w:rsidRPr="00024B53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Estudiar danza es estudiar nuestro propio cuerpo y aprender a sacar el máximo partido de sus infinitas posibilidades, mejorando así, en muchos aspectos, nuestra calidad de vida.</w:t>
      </w:r>
    </w:p>
    <w:p w14:paraId="3612615E" w14:textId="77777777" w:rsidR="00B00E14" w:rsidRPr="00024B53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Como arte escénico implica la voluntad de trasmitir nuestras emociones y comunicarnos con el público, exponiendo nuestras pasiones, opiniones y deseos acerca del mundo en el que vivimos.</w:t>
      </w:r>
    </w:p>
    <w:p w14:paraId="7A2E1BC0" w14:textId="77777777" w:rsidR="00B00E14" w:rsidRPr="00024B53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>En nuestra Escuela de Danza trabajamos para que cada estudiante transite por todas las etapas de este fascinante estudio y sea capaz de cumplir con todos sus objetivos: dominio consciente de su propio cuerpo, mejora sustancial en su salud física y psíquica, utilización del movimiento como herramienta expresiva, bella, poderosa y convincente.</w:t>
      </w:r>
    </w:p>
    <w:p w14:paraId="55EB9553" w14:textId="4420C2E9" w:rsidR="00B00E14" w:rsidRPr="00024B53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sz w:val="28"/>
          <w:szCs w:val="28"/>
        </w:rPr>
        <w:t xml:space="preserve">La edad mínima para iniciar estudios de danza en la Escuela es de </w:t>
      </w:r>
      <w:r w:rsidR="00B2568E" w:rsidRPr="00024B53">
        <w:rPr>
          <w:rFonts w:cstheme="minorHAnsi"/>
          <w:sz w:val="28"/>
          <w:szCs w:val="28"/>
        </w:rPr>
        <w:t>3</w:t>
      </w:r>
      <w:r w:rsidRPr="00024B53">
        <w:rPr>
          <w:rFonts w:cstheme="minorHAnsi"/>
          <w:sz w:val="28"/>
          <w:szCs w:val="28"/>
        </w:rPr>
        <w:t xml:space="preserve"> años, sin que exista un límite máximo ni tampoco pruebas de ingreso o selección.</w:t>
      </w:r>
    </w:p>
    <w:p w14:paraId="49CC85AA" w14:textId="77777777" w:rsidR="00B00E14" w:rsidRDefault="00B00E14" w:rsidP="00B00E14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  <w:r w:rsidRPr="00024B53">
        <w:rPr>
          <w:rFonts w:cstheme="minorHAnsi"/>
          <w:b/>
          <w:sz w:val="28"/>
          <w:szCs w:val="28"/>
        </w:rPr>
        <w:t>Especialidades</w:t>
      </w:r>
      <w:r w:rsidRPr="00024B53">
        <w:rPr>
          <w:rFonts w:cstheme="minorHAnsi"/>
          <w:b/>
          <w:sz w:val="28"/>
          <w:szCs w:val="28"/>
        </w:rPr>
        <w:sym w:font="Wingdings" w:char="F0E0"/>
      </w:r>
      <w:r w:rsidRPr="00024B53">
        <w:rPr>
          <w:rFonts w:cstheme="minorHAnsi"/>
          <w:b/>
          <w:sz w:val="28"/>
          <w:szCs w:val="28"/>
        </w:rPr>
        <w:t xml:space="preserve"> </w:t>
      </w:r>
      <w:r w:rsidRPr="00024B53">
        <w:rPr>
          <w:rFonts w:cstheme="minorHAnsi"/>
          <w:sz w:val="28"/>
          <w:szCs w:val="28"/>
        </w:rPr>
        <w:t>Danza Clásica, Danza Contemporánea y Expresión Corporal.</w:t>
      </w:r>
    </w:p>
    <w:p w14:paraId="23654CFB" w14:textId="461AE54F" w:rsidR="00A537B0" w:rsidRPr="00A537B0" w:rsidRDefault="00A537B0" w:rsidP="00A537B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Información económica</w:t>
      </w:r>
    </w:p>
    <w:tbl>
      <w:tblPr>
        <w:tblStyle w:val="Tablaconcuadrcula"/>
        <w:tblW w:w="5000" w:type="pct"/>
        <w:tblInd w:w="0" w:type="dxa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90"/>
        <w:gridCol w:w="4772"/>
      </w:tblGrid>
      <w:tr w:rsidR="00A537B0" w14:paraId="5618022A" w14:textId="77777777" w:rsidTr="00A537B0">
        <w:trPr>
          <w:trHeight w:val="341"/>
        </w:trPr>
        <w:tc>
          <w:tcPr>
            <w:tcW w:w="2605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7E402249" w14:textId="77777777" w:rsidR="00A537B0" w:rsidRPr="00A537B0" w:rsidRDefault="00A537B0" w:rsidP="00A537B0">
            <w:pPr>
              <w:widowControl w:val="0"/>
              <w:ind w:right="-57"/>
              <w:jc w:val="both"/>
              <w:textAlignment w:val="baseline"/>
              <w:rPr>
                <w:rFonts w:cstheme="minorHAnsi"/>
                <w:b/>
                <w:sz w:val="28"/>
                <w:szCs w:val="28"/>
                <w:lang w:eastAsia="es-ES"/>
              </w:rPr>
            </w:pPr>
            <w:r w:rsidRPr="00A537B0">
              <w:rPr>
                <w:rFonts w:cstheme="minorHAnsi"/>
                <w:b/>
                <w:sz w:val="28"/>
                <w:szCs w:val="28"/>
                <w:lang w:eastAsia="es-ES"/>
              </w:rPr>
              <w:t>Dotación Fundacional</w:t>
            </w:r>
          </w:p>
        </w:tc>
        <w:tc>
          <w:tcPr>
            <w:tcW w:w="2395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7D703E6E" w14:textId="77777777" w:rsidR="00A537B0" w:rsidRDefault="00A537B0">
            <w:pPr>
              <w:widowControl w:val="0"/>
              <w:ind w:right="-57"/>
              <w:jc w:val="center"/>
              <w:textAlignment w:val="baseline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8"/>
                <w:szCs w:val="28"/>
                <w:shd w:val="clear" w:color="auto" w:fill="FFFFFF"/>
                <w:lang w:eastAsia="es-ES"/>
              </w:rPr>
              <w:t>68.752,00 Euros</w:t>
            </w:r>
          </w:p>
        </w:tc>
      </w:tr>
    </w:tbl>
    <w:p w14:paraId="7217D700" w14:textId="77777777" w:rsidR="00A537B0" w:rsidRDefault="00A537B0" w:rsidP="00A537B0">
      <w:pPr>
        <w:widowControl w:val="0"/>
        <w:ind w:right="-57"/>
        <w:jc w:val="both"/>
        <w:rPr>
          <w:rFonts w:cstheme="minorHAnsi"/>
          <w:b/>
          <w:color w:val="333333"/>
          <w:sz w:val="28"/>
          <w:szCs w:val="28"/>
          <w:shd w:val="clear" w:color="auto" w:fill="FFFFFF"/>
        </w:rPr>
      </w:pPr>
    </w:p>
    <w:tbl>
      <w:tblPr>
        <w:tblStyle w:val="Tablaconcuadrcula"/>
        <w:tblW w:w="0" w:type="auto"/>
        <w:tblInd w:w="0" w:type="dxa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08"/>
        <w:gridCol w:w="2263"/>
      </w:tblGrid>
      <w:tr w:rsidR="00A537B0" w14:paraId="753A8075" w14:textId="77777777" w:rsidTr="00A537B0">
        <w:tc>
          <w:tcPr>
            <w:tcW w:w="9771" w:type="dxa"/>
            <w:gridSpan w:val="2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17A021B9" w14:textId="77777777" w:rsidR="00A537B0" w:rsidRDefault="00A537B0">
            <w:pPr>
              <w:widowControl w:val="0"/>
              <w:ind w:right="-57"/>
              <w:textAlignment w:val="baseline"/>
              <w:rPr>
                <w:rFonts w:asciiTheme="minorHAnsi" w:hAnsiTheme="minorHAnsi" w:cstheme="minorHAnsi"/>
                <w:b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s-ES"/>
              </w:rPr>
              <w:t>Recursos que financian sus actividades</w:t>
            </w:r>
          </w:p>
        </w:tc>
      </w:tr>
      <w:tr w:rsidR="00A537B0" w14:paraId="7CC40166" w14:textId="77777777" w:rsidTr="00A537B0">
        <w:tc>
          <w:tcPr>
            <w:tcW w:w="7508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605F08EE" w14:textId="77777777" w:rsidR="00A537B0" w:rsidRDefault="00A537B0">
            <w:pPr>
              <w:widowControl w:val="0"/>
              <w:ind w:right="-57"/>
              <w:jc w:val="both"/>
              <w:textAlignment w:val="baseline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Fuente</w:t>
            </w:r>
          </w:p>
        </w:tc>
        <w:tc>
          <w:tcPr>
            <w:tcW w:w="2263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38E67930" w14:textId="77777777" w:rsidR="00A537B0" w:rsidRDefault="00A537B0">
            <w:pPr>
              <w:widowControl w:val="0"/>
              <w:ind w:right="-57"/>
              <w:jc w:val="right"/>
              <w:textAlignment w:val="baseline"/>
              <w:rPr>
                <w:rFonts w:asciiTheme="minorHAnsi" w:hAnsiTheme="minorHAnsi" w:cstheme="minorHAnsi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es-ES"/>
              </w:rPr>
              <w:t>Importe</w:t>
            </w:r>
          </w:p>
        </w:tc>
      </w:tr>
      <w:tr w:rsidR="00A537B0" w14:paraId="263947E7" w14:textId="77777777" w:rsidTr="00A537B0">
        <w:tc>
          <w:tcPr>
            <w:tcW w:w="7508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06769387" w14:textId="77777777" w:rsidR="00A537B0" w:rsidRDefault="00A537B0">
            <w:pPr>
              <w:widowControl w:val="0"/>
              <w:ind w:right="-57"/>
              <w:jc w:val="both"/>
              <w:textAlignment w:val="baseline"/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  <w:t xml:space="preserve">Aportaciones Ayuntamiento de Los Realejos </w:t>
            </w:r>
          </w:p>
        </w:tc>
        <w:tc>
          <w:tcPr>
            <w:tcW w:w="2263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0E06640F" w14:textId="77777777" w:rsidR="00A537B0" w:rsidRDefault="00A537B0">
            <w:pPr>
              <w:jc w:val="right"/>
              <w:textAlignment w:val="baseline"/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  <w:t>145.951,63</w:t>
            </w:r>
          </w:p>
        </w:tc>
      </w:tr>
      <w:tr w:rsidR="00A537B0" w14:paraId="10EBD905" w14:textId="77777777" w:rsidTr="00A537B0">
        <w:tc>
          <w:tcPr>
            <w:tcW w:w="7508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7E882216" w14:textId="77777777" w:rsidR="00A537B0" w:rsidRDefault="00A537B0">
            <w:pPr>
              <w:widowControl w:val="0"/>
              <w:ind w:right="-57"/>
              <w:jc w:val="both"/>
              <w:textAlignment w:val="baseline"/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  <w:t>Aportaciones Ayuntamiento de Icod de Los Vinos</w:t>
            </w:r>
          </w:p>
        </w:tc>
        <w:tc>
          <w:tcPr>
            <w:tcW w:w="2263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47909689" w14:textId="77777777" w:rsidR="00A537B0" w:rsidRDefault="00A537B0">
            <w:pPr>
              <w:widowControl w:val="0"/>
              <w:ind w:right="-57"/>
              <w:jc w:val="right"/>
              <w:textAlignment w:val="baseline"/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  <w:t>67.876,08</w:t>
            </w:r>
          </w:p>
        </w:tc>
      </w:tr>
      <w:tr w:rsidR="00A537B0" w14:paraId="6CD2E7CD" w14:textId="77777777" w:rsidTr="00A537B0">
        <w:tc>
          <w:tcPr>
            <w:tcW w:w="7508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42F140B9" w14:textId="77777777" w:rsidR="00A537B0" w:rsidRDefault="00A537B0">
            <w:pPr>
              <w:widowControl w:val="0"/>
              <w:ind w:right="-57"/>
              <w:jc w:val="both"/>
              <w:textAlignment w:val="baseline"/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  <w:t>Cuotas de usuarios/as</w:t>
            </w:r>
          </w:p>
        </w:tc>
        <w:tc>
          <w:tcPr>
            <w:tcW w:w="2263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3C4CE3FB" w14:textId="77777777" w:rsidR="00A537B0" w:rsidRDefault="00A537B0">
            <w:pPr>
              <w:widowControl w:val="0"/>
              <w:ind w:right="-57"/>
              <w:jc w:val="right"/>
              <w:textAlignment w:val="baseline"/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  <w:t>102.735,91</w:t>
            </w:r>
          </w:p>
        </w:tc>
      </w:tr>
      <w:tr w:rsidR="00A537B0" w14:paraId="257770D6" w14:textId="77777777" w:rsidTr="00A537B0">
        <w:tc>
          <w:tcPr>
            <w:tcW w:w="7508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72139895" w14:textId="77777777" w:rsidR="00A537B0" w:rsidRDefault="00A537B0">
            <w:pPr>
              <w:widowControl w:val="0"/>
              <w:ind w:right="-57"/>
              <w:jc w:val="both"/>
              <w:textAlignment w:val="baseline"/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  <w:t>Subvención Cabildo</w:t>
            </w:r>
          </w:p>
        </w:tc>
        <w:tc>
          <w:tcPr>
            <w:tcW w:w="2263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74D188BB" w14:textId="77777777" w:rsidR="00A537B0" w:rsidRDefault="00A537B0">
            <w:pPr>
              <w:widowControl w:val="0"/>
              <w:ind w:right="-57"/>
              <w:jc w:val="right"/>
              <w:textAlignment w:val="baseline"/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  <w:t>53.180,13</w:t>
            </w:r>
          </w:p>
        </w:tc>
      </w:tr>
      <w:tr w:rsidR="00A537B0" w14:paraId="2F686BA0" w14:textId="77777777" w:rsidTr="00A537B0">
        <w:tc>
          <w:tcPr>
            <w:tcW w:w="7508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723081CE" w14:textId="77777777" w:rsidR="00A537B0" w:rsidRDefault="00A537B0">
            <w:pPr>
              <w:widowControl w:val="0"/>
              <w:ind w:right="-57"/>
              <w:jc w:val="both"/>
              <w:textAlignment w:val="baseline"/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  <w:t>Otros ingresos</w:t>
            </w:r>
          </w:p>
        </w:tc>
        <w:tc>
          <w:tcPr>
            <w:tcW w:w="2263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49F0A14A" w14:textId="77777777" w:rsidR="00A537B0" w:rsidRDefault="00A537B0">
            <w:pPr>
              <w:widowControl w:val="0"/>
              <w:ind w:right="-57"/>
              <w:jc w:val="right"/>
              <w:textAlignment w:val="baseline"/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  <w:lang w:eastAsia="es-ES"/>
              </w:rPr>
              <w:t>766,32</w:t>
            </w:r>
          </w:p>
        </w:tc>
      </w:tr>
      <w:tr w:rsidR="00A537B0" w14:paraId="1812228A" w14:textId="77777777" w:rsidTr="00A537B0">
        <w:tc>
          <w:tcPr>
            <w:tcW w:w="7508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53F5A780" w14:textId="77777777" w:rsidR="00A537B0" w:rsidRDefault="00A537B0">
            <w:pPr>
              <w:widowControl w:val="0"/>
              <w:ind w:right="-57"/>
              <w:jc w:val="right"/>
              <w:textAlignment w:val="baseline"/>
              <w:rPr>
                <w:rFonts w:asciiTheme="minorHAnsi" w:hAnsiTheme="minorHAnsi" w:cstheme="minorHAnsi"/>
                <w:b/>
                <w:color w:val="002060"/>
                <w:sz w:val="28"/>
                <w:szCs w:val="28"/>
                <w:lang w:eastAsia="es-ES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8"/>
                <w:szCs w:val="28"/>
                <w:lang w:eastAsia="es-ES"/>
              </w:rPr>
              <w:t>Totales….</w:t>
            </w:r>
          </w:p>
        </w:tc>
        <w:tc>
          <w:tcPr>
            <w:tcW w:w="2263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hideMark/>
          </w:tcPr>
          <w:p w14:paraId="1227B331" w14:textId="77777777" w:rsidR="00A537B0" w:rsidRDefault="00A537B0">
            <w:pPr>
              <w:widowControl w:val="0"/>
              <w:ind w:right="-57"/>
              <w:jc w:val="right"/>
              <w:textAlignment w:val="baseline"/>
              <w:rPr>
                <w:rFonts w:asciiTheme="minorHAnsi" w:hAnsiTheme="minorHAnsi" w:cstheme="minorHAnsi"/>
                <w:b/>
                <w:color w:val="002060"/>
                <w:sz w:val="28"/>
                <w:szCs w:val="28"/>
                <w:lang w:eastAsia="es-ES"/>
              </w:rPr>
            </w:pPr>
            <w:r>
              <w:rPr>
                <w:rFonts w:cstheme="minorHAnsi"/>
                <w:b/>
                <w:color w:val="002060"/>
                <w:sz w:val="28"/>
                <w:szCs w:val="28"/>
                <w:lang w:eastAsia="es-ES"/>
              </w:rPr>
              <w:fldChar w:fldCharType="begin"/>
            </w:r>
            <w:r>
              <w:rPr>
                <w:rFonts w:cstheme="minorHAnsi"/>
                <w:b/>
                <w:color w:val="002060"/>
                <w:sz w:val="28"/>
                <w:szCs w:val="28"/>
                <w:lang w:eastAsia="es-ES"/>
              </w:rPr>
              <w:instrText xml:space="preserve"> =SUM(ABOVE) </w:instrText>
            </w:r>
            <w:r>
              <w:rPr>
                <w:rFonts w:cstheme="minorHAnsi"/>
                <w:b/>
                <w:color w:val="002060"/>
                <w:sz w:val="28"/>
                <w:szCs w:val="28"/>
                <w:lang w:eastAsia="es-ES"/>
              </w:rPr>
              <w:fldChar w:fldCharType="separate"/>
            </w:r>
            <w:r>
              <w:rPr>
                <w:rFonts w:cstheme="minorHAnsi"/>
                <w:b/>
                <w:noProof/>
                <w:color w:val="002060"/>
                <w:sz w:val="28"/>
                <w:szCs w:val="28"/>
                <w:lang w:eastAsia="es-ES"/>
              </w:rPr>
              <w:t>370.510,07</w:t>
            </w:r>
            <w:r>
              <w:rPr>
                <w:rFonts w:cstheme="minorHAnsi"/>
                <w:b/>
                <w:color w:val="002060"/>
                <w:sz w:val="28"/>
                <w:szCs w:val="28"/>
                <w:lang w:eastAsia="es-ES"/>
              </w:rPr>
              <w:fldChar w:fldCharType="end"/>
            </w:r>
          </w:p>
        </w:tc>
      </w:tr>
    </w:tbl>
    <w:p w14:paraId="0AC3C368" w14:textId="77777777" w:rsidR="00A537B0" w:rsidRDefault="00A537B0" w:rsidP="00A537B0">
      <w:pPr>
        <w:widowControl w:val="0"/>
        <w:ind w:right="-57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p w14:paraId="5CBBF013" w14:textId="7A85E8C7" w:rsidR="00A537B0" w:rsidRPr="00024B53" w:rsidRDefault="00A537B0" w:rsidP="00A537B0">
      <w:pPr>
        <w:pStyle w:val="Prrafodelista"/>
        <w:spacing w:after="0" w:line="360" w:lineRule="auto"/>
        <w:jc w:val="both"/>
        <w:rPr>
          <w:rFonts w:cstheme="minorHAnsi"/>
          <w:sz w:val="28"/>
          <w:szCs w:val="28"/>
        </w:rPr>
      </w:pPr>
    </w:p>
    <w:sectPr w:rsidR="00A537B0" w:rsidRPr="00024B53" w:rsidSect="004D182C">
      <w:headerReference w:type="default" r:id="rId7"/>
      <w:pgSz w:w="11906" w:h="16838"/>
      <w:pgMar w:top="2269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DCDF3" w14:textId="77777777" w:rsidR="00F84E6E" w:rsidRDefault="00F84E6E" w:rsidP="00B92569">
      <w:pPr>
        <w:spacing w:after="0" w:line="240" w:lineRule="auto"/>
      </w:pPr>
      <w:r>
        <w:separator/>
      </w:r>
    </w:p>
  </w:endnote>
  <w:endnote w:type="continuationSeparator" w:id="0">
    <w:p w14:paraId="41976AC2" w14:textId="77777777" w:rsidR="00F84E6E" w:rsidRDefault="00F84E6E" w:rsidP="00B92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41D2" w14:textId="77777777" w:rsidR="00F84E6E" w:rsidRDefault="00F84E6E" w:rsidP="00B92569">
      <w:pPr>
        <w:spacing w:after="0" w:line="240" w:lineRule="auto"/>
      </w:pPr>
      <w:r>
        <w:separator/>
      </w:r>
    </w:p>
  </w:footnote>
  <w:footnote w:type="continuationSeparator" w:id="0">
    <w:p w14:paraId="57F9004D" w14:textId="77777777" w:rsidR="00F84E6E" w:rsidRDefault="00F84E6E" w:rsidP="00B92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BBF2" w14:textId="77777777" w:rsidR="00B92569" w:rsidRDefault="00B92569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752" behindDoc="0" locked="0" layoutInCell="1" allowOverlap="1" wp14:anchorId="6AC088C0" wp14:editId="4C81280E">
          <wp:simplePos x="0" y="0"/>
          <wp:positionH relativeFrom="column">
            <wp:posOffset>-36195</wp:posOffset>
          </wp:positionH>
          <wp:positionV relativeFrom="paragraph">
            <wp:posOffset>-279400</wp:posOffset>
          </wp:positionV>
          <wp:extent cx="1079500" cy="1125220"/>
          <wp:effectExtent l="0" t="0" r="6350" b="0"/>
          <wp:wrapSquare wrapText="bothSides"/>
          <wp:docPr id="125291334" name="Imagen 125291334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125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C564B"/>
    <w:multiLevelType w:val="hybridMultilevel"/>
    <w:tmpl w:val="9A3C6916"/>
    <w:lvl w:ilvl="0" w:tplc="0CF8ED02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778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E0C"/>
    <w:rsid w:val="00022C03"/>
    <w:rsid w:val="00024B53"/>
    <w:rsid w:val="00167B10"/>
    <w:rsid w:val="00173CD6"/>
    <w:rsid w:val="00177A7D"/>
    <w:rsid w:val="00187E0C"/>
    <w:rsid w:val="00204F85"/>
    <w:rsid w:val="00247197"/>
    <w:rsid w:val="00281E7A"/>
    <w:rsid w:val="002B1494"/>
    <w:rsid w:val="003359DE"/>
    <w:rsid w:val="00354491"/>
    <w:rsid w:val="00357673"/>
    <w:rsid w:val="003C567A"/>
    <w:rsid w:val="003E7408"/>
    <w:rsid w:val="004D182C"/>
    <w:rsid w:val="005830E2"/>
    <w:rsid w:val="00613DAC"/>
    <w:rsid w:val="006404F5"/>
    <w:rsid w:val="00695949"/>
    <w:rsid w:val="00876D72"/>
    <w:rsid w:val="0094758B"/>
    <w:rsid w:val="009673AA"/>
    <w:rsid w:val="009D68A1"/>
    <w:rsid w:val="00A537B0"/>
    <w:rsid w:val="00AA53EF"/>
    <w:rsid w:val="00AE5B8B"/>
    <w:rsid w:val="00B00E14"/>
    <w:rsid w:val="00B2568E"/>
    <w:rsid w:val="00B92569"/>
    <w:rsid w:val="00C4494F"/>
    <w:rsid w:val="00D24025"/>
    <w:rsid w:val="00DA6151"/>
    <w:rsid w:val="00EF480F"/>
    <w:rsid w:val="00F8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31132"/>
  <w15:docId w15:val="{45613D28-3535-4800-914E-CDF9D6C7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5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3EF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3C567A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B925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2569"/>
  </w:style>
  <w:style w:type="paragraph" w:styleId="Piedepgina">
    <w:name w:val="footer"/>
    <w:basedOn w:val="Normal"/>
    <w:link w:val="PiedepginaCar"/>
    <w:uiPriority w:val="99"/>
    <w:unhideWhenUsed/>
    <w:rsid w:val="00B925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2569"/>
  </w:style>
  <w:style w:type="paragraph" w:styleId="Prrafodelista">
    <w:name w:val="List Paragraph"/>
    <w:basedOn w:val="Normal"/>
    <w:uiPriority w:val="34"/>
    <w:qFormat/>
    <w:rsid w:val="00167B10"/>
    <w:pPr>
      <w:ind w:left="720"/>
      <w:contextualSpacing/>
    </w:pPr>
  </w:style>
  <w:style w:type="table" w:styleId="Tablaconcuadrcula">
    <w:name w:val="Table Grid"/>
    <w:basedOn w:val="Tablanormal"/>
    <w:rsid w:val="00A537B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117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763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16</cp:revision>
  <dcterms:created xsi:type="dcterms:W3CDTF">2020-04-21T12:18:00Z</dcterms:created>
  <dcterms:modified xsi:type="dcterms:W3CDTF">2025-06-15T11:48:00Z</dcterms:modified>
</cp:coreProperties>
</file>