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5501" w14:textId="53C56A25" w:rsidR="00BD576D" w:rsidRPr="006D2C33" w:rsidRDefault="006D2C33" w:rsidP="00827C1F">
      <w:pPr>
        <w:rPr>
          <w:b/>
          <w:bCs/>
          <w:sz w:val="28"/>
          <w:szCs w:val="28"/>
        </w:rPr>
      </w:pPr>
      <w:r w:rsidRPr="006D2C33">
        <w:rPr>
          <w:b/>
          <w:bCs/>
          <w:sz w:val="28"/>
          <w:szCs w:val="28"/>
        </w:rPr>
        <w:t>1029. Capital social, dotación fundacional o participación y recursos que financian sus actividades</w:t>
      </w:r>
      <w:r>
        <w:rPr>
          <w:b/>
          <w:bCs/>
          <w:sz w:val="28"/>
          <w:szCs w:val="28"/>
        </w:rPr>
        <w:t>:</w:t>
      </w:r>
    </w:p>
    <w:tbl>
      <w:tblPr>
        <w:tblStyle w:val="Tablaconcuadrcu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35"/>
        <w:gridCol w:w="2183"/>
        <w:gridCol w:w="2218"/>
      </w:tblGrid>
      <w:tr w:rsidR="002255B1" w:rsidRPr="0084383F" w14:paraId="628F564D" w14:textId="77777777" w:rsidTr="007421A2">
        <w:tc>
          <w:tcPr>
            <w:tcW w:w="2740" w:type="pct"/>
            <w:shd w:val="clear" w:color="auto" w:fill="F2F2F2" w:themeFill="background1" w:themeFillShade="F2"/>
          </w:tcPr>
          <w:p w14:paraId="0375E926" w14:textId="77777777" w:rsidR="002255B1" w:rsidRPr="00711A7A" w:rsidRDefault="002255B1" w:rsidP="007421A2">
            <w:pPr>
              <w:widowControl w:val="0"/>
              <w:ind w:right="-57"/>
              <w:rPr>
                <w:rFonts w:cs="Calibri"/>
                <w:b/>
                <w:sz w:val="24"/>
                <w:szCs w:val="24"/>
              </w:rPr>
            </w:pPr>
            <w:r w:rsidRPr="00711A7A">
              <w:rPr>
                <w:rFonts w:cs="Calibri"/>
                <w:b/>
                <w:sz w:val="24"/>
                <w:szCs w:val="24"/>
              </w:rPr>
              <w:t>Recursos que financian sus actividades</w:t>
            </w:r>
          </w:p>
        </w:tc>
        <w:tc>
          <w:tcPr>
            <w:tcW w:w="1121" w:type="pct"/>
            <w:vMerge w:val="restart"/>
            <w:shd w:val="clear" w:color="auto" w:fill="F2F2F2" w:themeFill="background1" w:themeFillShade="F2"/>
            <w:vAlign w:val="center"/>
          </w:tcPr>
          <w:p w14:paraId="5D7E0BDA" w14:textId="77777777" w:rsidR="002255B1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sz w:val="24"/>
                <w:szCs w:val="24"/>
              </w:rPr>
            </w:pPr>
            <w:r w:rsidRPr="00711A7A">
              <w:rPr>
                <w:rFonts w:cs="Calibri"/>
                <w:b/>
                <w:sz w:val="24"/>
                <w:szCs w:val="24"/>
              </w:rPr>
              <w:t>Año 202</w:t>
            </w:r>
            <w:r>
              <w:rPr>
                <w:rFonts w:cs="Calibri"/>
                <w:b/>
                <w:sz w:val="24"/>
                <w:szCs w:val="24"/>
              </w:rPr>
              <w:t>5</w:t>
            </w:r>
          </w:p>
          <w:p w14:paraId="47999B1D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(Ejecución)</w:t>
            </w:r>
          </w:p>
        </w:tc>
        <w:tc>
          <w:tcPr>
            <w:tcW w:w="1139" w:type="pct"/>
            <w:vMerge w:val="restart"/>
            <w:shd w:val="clear" w:color="auto" w:fill="F2F2F2" w:themeFill="background1" w:themeFillShade="F2"/>
            <w:vAlign w:val="center"/>
          </w:tcPr>
          <w:p w14:paraId="6AE0771B" w14:textId="77777777" w:rsidR="002255B1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sz w:val="24"/>
                <w:szCs w:val="24"/>
              </w:rPr>
            </w:pPr>
            <w:r w:rsidRPr="00711A7A">
              <w:rPr>
                <w:rFonts w:cs="Calibri"/>
                <w:b/>
                <w:sz w:val="24"/>
                <w:szCs w:val="24"/>
              </w:rPr>
              <w:t>Año 202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</w:p>
          <w:p w14:paraId="40464344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(Previsión)</w:t>
            </w:r>
          </w:p>
        </w:tc>
      </w:tr>
      <w:tr w:rsidR="002255B1" w:rsidRPr="0084383F" w14:paraId="6443ACFA" w14:textId="77777777" w:rsidTr="007421A2">
        <w:tc>
          <w:tcPr>
            <w:tcW w:w="2740" w:type="pct"/>
            <w:shd w:val="clear" w:color="auto" w:fill="F2F2F2" w:themeFill="background1" w:themeFillShade="F2"/>
          </w:tcPr>
          <w:p w14:paraId="2FEEB691" w14:textId="77777777" w:rsidR="002255B1" w:rsidRPr="00711A7A" w:rsidRDefault="002255B1" w:rsidP="007421A2">
            <w:pPr>
              <w:widowControl w:val="0"/>
              <w:ind w:right="-57"/>
              <w:rPr>
                <w:rFonts w:cs="Calibri"/>
                <w:sz w:val="24"/>
                <w:szCs w:val="24"/>
              </w:rPr>
            </w:pPr>
            <w:r w:rsidRPr="00711A7A">
              <w:rPr>
                <w:rFonts w:cs="Calibri"/>
                <w:sz w:val="24"/>
                <w:szCs w:val="24"/>
              </w:rPr>
              <w:t>Fuente</w:t>
            </w:r>
          </w:p>
        </w:tc>
        <w:tc>
          <w:tcPr>
            <w:tcW w:w="1121" w:type="pct"/>
            <w:vMerge/>
            <w:shd w:val="clear" w:color="auto" w:fill="F2F2F2" w:themeFill="background1" w:themeFillShade="F2"/>
          </w:tcPr>
          <w:p w14:paraId="73DEB669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F2F2F2" w:themeFill="background1" w:themeFillShade="F2"/>
          </w:tcPr>
          <w:p w14:paraId="4208BCE6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255B1" w:rsidRPr="0084383F" w14:paraId="69AA6DE7" w14:textId="77777777" w:rsidTr="007421A2">
        <w:tc>
          <w:tcPr>
            <w:tcW w:w="2740" w:type="pct"/>
          </w:tcPr>
          <w:p w14:paraId="134FE277" w14:textId="77777777" w:rsidR="002255B1" w:rsidRPr="002255B1" w:rsidRDefault="002255B1" w:rsidP="007421A2">
            <w:pPr>
              <w:widowControl w:val="0"/>
              <w:ind w:right="-57"/>
              <w:rPr>
                <w:rFonts w:cs="Calibri"/>
                <w:color w:val="002060"/>
                <w:sz w:val="22"/>
                <w:szCs w:val="22"/>
              </w:rPr>
            </w:pPr>
            <w:r w:rsidRPr="002255B1">
              <w:rPr>
                <w:rFonts w:cs="Calibri"/>
                <w:color w:val="002060"/>
                <w:sz w:val="22"/>
                <w:szCs w:val="22"/>
              </w:rPr>
              <w:t>Aportaciones Ayuntamiento de Los Realejos</w:t>
            </w:r>
          </w:p>
        </w:tc>
        <w:tc>
          <w:tcPr>
            <w:tcW w:w="1121" w:type="pct"/>
          </w:tcPr>
          <w:p w14:paraId="7AAFBB6E" w14:textId="77777777" w:rsidR="002255B1" w:rsidRPr="00711A7A" w:rsidRDefault="002255B1" w:rsidP="007421A2">
            <w:pPr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143.957,26</w:t>
            </w:r>
          </w:p>
        </w:tc>
        <w:tc>
          <w:tcPr>
            <w:tcW w:w="1139" w:type="pct"/>
          </w:tcPr>
          <w:p w14:paraId="42B660C0" w14:textId="77777777" w:rsidR="002255B1" w:rsidRPr="00711A7A" w:rsidRDefault="002255B1" w:rsidP="007421A2">
            <w:pPr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186.140,53</w:t>
            </w:r>
          </w:p>
        </w:tc>
      </w:tr>
      <w:tr w:rsidR="002255B1" w:rsidRPr="0084383F" w14:paraId="47F5AEE4" w14:textId="77777777" w:rsidTr="007421A2">
        <w:tc>
          <w:tcPr>
            <w:tcW w:w="2740" w:type="pct"/>
          </w:tcPr>
          <w:p w14:paraId="4A47340C" w14:textId="77777777" w:rsidR="002255B1" w:rsidRPr="002255B1" w:rsidRDefault="002255B1" w:rsidP="007421A2">
            <w:pPr>
              <w:widowControl w:val="0"/>
              <w:ind w:right="-57"/>
              <w:rPr>
                <w:rFonts w:cs="Calibri"/>
                <w:color w:val="002060"/>
                <w:sz w:val="22"/>
                <w:szCs w:val="22"/>
              </w:rPr>
            </w:pPr>
            <w:r w:rsidRPr="002255B1">
              <w:rPr>
                <w:rFonts w:cs="Calibri"/>
                <w:color w:val="002060"/>
                <w:sz w:val="22"/>
                <w:szCs w:val="22"/>
              </w:rPr>
              <w:t>Aportaciones Ayuntamiento de Icod de Los Vinos</w:t>
            </w:r>
          </w:p>
        </w:tc>
        <w:tc>
          <w:tcPr>
            <w:tcW w:w="1121" w:type="pct"/>
          </w:tcPr>
          <w:p w14:paraId="28A4973D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80.876,72</w:t>
            </w:r>
          </w:p>
        </w:tc>
        <w:tc>
          <w:tcPr>
            <w:tcW w:w="1139" w:type="pct"/>
          </w:tcPr>
          <w:p w14:paraId="4D4AC1B2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87.146,66</w:t>
            </w:r>
          </w:p>
        </w:tc>
      </w:tr>
      <w:tr w:rsidR="002255B1" w:rsidRPr="0084383F" w14:paraId="6CC79219" w14:textId="77777777" w:rsidTr="007421A2">
        <w:tc>
          <w:tcPr>
            <w:tcW w:w="2740" w:type="pct"/>
          </w:tcPr>
          <w:p w14:paraId="374349E1" w14:textId="77777777" w:rsidR="002255B1" w:rsidRPr="002255B1" w:rsidRDefault="002255B1" w:rsidP="007421A2">
            <w:pPr>
              <w:widowControl w:val="0"/>
              <w:ind w:right="-57"/>
              <w:rPr>
                <w:rFonts w:cs="Calibri"/>
                <w:color w:val="002060"/>
                <w:sz w:val="22"/>
                <w:szCs w:val="22"/>
              </w:rPr>
            </w:pPr>
            <w:r w:rsidRPr="002255B1">
              <w:rPr>
                <w:rFonts w:cs="Calibri"/>
                <w:color w:val="002060"/>
                <w:sz w:val="22"/>
                <w:szCs w:val="22"/>
              </w:rPr>
              <w:t>Cuotas de usuarios/as</w:t>
            </w:r>
          </w:p>
        </w:tc>
        <w:tc>
          <w:tcPr>
            <w:tcW w:w="1121" w:type="pct"/>
          </w:tcPr>
          <w:p w14:paraId="2B76098B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185.507,34</w:t>
            </w:r>
          </w:p>
        </w:tc>
        <w:tc>
          <w:tcPr>
            <w:tcW w:w="1139" w:type="pct"/>
          </w:tcPr>
          <w:p w14:paraId="6A58D3F0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119.689,00</w:t>
            </w:r>
          </w:p>
        </w:tc>
      </w:tr>
      <w:tr w:rsidR="002255B1" w:rsidRPr="0084383F" w14:paraId="3C09B59B" w14:textId="77777777" w:rsidTr="007421A2">
        <w:tc>
          <w:tcPr>
            <w:tcW w:w="2740" w:type="pct"/>
          </w:tcPr>
          <w:p w14:paraId="3F3CC936" w14:textId="77777777" w:rsidR="002255B1" w:rsidRPr="002255B1" w:rsidRDefault="002255B1" w:rsidP="007421A2">
            <w:pPr>
              <w:widowControl w:val="0"/>
              <w:ind w:right="-57"/>
              <w:rPr>
                <w:rFonts w:cs="Calibri"/>
                <w:color w:val="002060"/>
                <w:sz w:val="22"/>
                <w:szCs w:val="22"/>
              </w:rPr>
            </w:pPr>
            <w:r w:rsidRPr="002255B1">
              <w:rPr>
                <w:rFonts w:cs="Calibri"/>
                <w:color w:val="002060"/>
                <w:sz w:val="22"/>
                <w:szCs w:val="22"/>
              </w:rPr>
              <w:t>Subvención Cabildo</w:t>
            </w:r>
          </w:p>
        </w:tc>
        <w:tc>
          <w:tcPr>
            <w:tcW w:w="1121" w:type="pct"/>
          </w:tcPr>
          <w:p w14:paraId="19FFE779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0,00</w:t>
            </w:r>
          </w:p>
        </w:tc>
        <w:tc>
          <w:tcPr>
            <w:tcW w:w="1139" w:type="pct"/>
          </w:tcPr>
          <w:p w14:paraId="095FD20B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54.000,00</w:t>
            </w:r>
          </w:p>
        </w:tc>
      </w:tr>
      <w:tr w:rsidR="002255B1" w:rsidRPr="0084383F" w14:paraId="4CA40AC8" w14:textId="77777777" w:rsidTr="007421A2">
        <w:tc>
          <w:tcPr>
            <w:tcW w:w="2740" w:type="pct"/>
          </w:tcPr>
          <w:p w14:paraId="5B88CB55" w14:textId="77777777" w:rsidR="002255B1" w:rsidRPr="002255B1" w:rsidRDefault="002255B1" w:rsidP="007421A2">
            <w:pPr>
              <w:widowControl w:val="0"/>
              <w:ind w:right="-57"/>
              <w:rPr>
                <w:rFonts w:cs="Calibri"/>
                <w:color w:val="002060"/>
                <w:sz w:val="22"/>
                <w:szCs w:val="22"/>
              </w:rPr>
            </w:pPr>
            <w:r w:rsidRPr="002255B1">
              <w:rPr>
                <w:rFonts w:cs="Calibri"/>
                <w:color w:val="002060"/>
                <w:sz w:val="22"/>
                <w:szCs w:val="22"/>
              </w:rPr>
              <w:t>Otros ingresos</w:t>
            </w:r>
          </w:p>
        </w:tc>
        <w:tc>
          <w:tcPr>
            <w:tcW w:w="1121" w:type="pct"/>
          </w:tcPr>
          <w:p w14:paraId="29ED556B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267,91</w:t>
            </w:r>
          </w:p>
        </w:tc>
        <w:tc>
          <w:tcPr>
            <w:tcW w:w="1139" w:type="pct"/>
          </w:tcPr>
          <w:p w14:paraId="10F2C609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0,00</w:t>
            </w:r>
          </w:p>
        </w:tc>
      </w:tr>
      <w:tr w:rsidR="002255B1" w:rsidRPr="0084383F" w14:paraId="55EAE698" w14:textId="77777777" w:rsidTr="007421A2">
        <w:tc>
          <w:tcPr>
            <w:tcW w:w="2740" w:type="pct"/>
            <w:shd w:val="clear" w:color="auto" w:fill="F2F2F2" w:themeFill="background1" w:themeFillShade="F2"/>
          </w:tcPr>
          <w:p w14:paraId="4C3E6762" w14:textId="77777777" w:rsidR="002255B1" w:rsidRPr="00711A7A" w:rsidRDefault="002255B1" w:rsidP="007421A2">
            <w:pPr>
              <w:widowControl w:val="0"/>
              <w:ind w:right="-57"/>
              <w:jc w:val="right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711A7A">
              <w:rPr>
                <w:rFonts w:cs="Calibri"/>
                <w:b/>
                <w:color w:val="002060"/>
                <w:sz w:val="24"/>
                <w:szCs w:val="24"/>
              </w:rPr>
              <w:t>Totales.</w:t>
            </w:r>
          </w:p>
        </w:tc>
        <w:tc>
          <w:tcPr>
            <w:tcW w:w="1121" w:type="pct"/>
          </w:tcPr>
          <w:p w14:paraId="1110F472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711A7A">
              <w:rPr>
                <w:rFonts w:cs="Calibri"/>
                <w:b/>
                <w:color w:val="002060"/>
              </w:rPr>
              <w:fldChar w:fldCharType="begin"/>
            </w:r>
            <w:r w:rsidRPr="00711A7A">
              <w:rPr>
                <w:rFonts w:cs="Calibri"/>
                <w:b/>
                <w:color w:val="002060"/>
                <w:sz w:val="24"/>
                <w:szCs w:val="24"/>
              </w:rPr>
              <w:instrText xml:space="preserve"> =SUM(ABOVE) </w:instrText>
            </w:r>
            <w:r w:rsidRPr="00711A7A">
              <w:rPr>
                <w:rFonts w:cs="Calibri"/>
                <w:b/>
                <w:color w:val="002060"/>
              </w:rPr>
              <w:fldChar w:fldCharType="separate"/>
            </w:r>
            <w:r>
              <w:rPr>
                <w:rFonts w:cs="Calibri"/>
                <w:b/>
                <w:noProof/>
                <w:color w:val="002060"/>
                <w:sz w:val="24"/>
                <w:szCs w:val="24"/>
              </w:rPr>
              <w:t>410.609,23</w:t>
            </w:r>
            <w:r w:rsidRPr="00711A7A">
              <w:rPr>
                <w:rFonts w:cs="Calibri"/>
                <w:b/>
                <w:color w:val="002060"/>
              </w:rPr>
              <w:fldChar w:fldCharType="end"/>
            </w:r>
          </w:p>
        </w:tc>
        <w:tc>
          <w:tcPr>
            <w:tcW w:w="1139" w:type="pct"/>
          </w:tcPr>
          <w:p w14:paraId="527E64B9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711A7A">
              <w:rPr>
                <w:rFonts w:cs="Calibri"/>
                <w:b/>
                <w:color w:val="002060"/>
              </w:rPr>
              <w:fldChar w:fldCharType="begin"/>
            </w:r>
            <w:r w:rsidRPr="00711A7A">
              <w:rPr>
                <w:rFonts w:cs="Calibri"/>
                <w:b/>
                <w:color w:val="002060"/>
                <w:sz w:val="24"/>
                <w:szCs w:val="24"/>
              </w:rPr>
              <w:instrText xml:space="preserve"> =SUM(ABOVE) </w:instrText>
            </w:r>
            <w:r w:rsidRPr="00711A7A">
              <w:rPr>
                <w:rFonts w:cs="Calibri"/>
                <w:b/>
                <w:color w:val="002060"/>
              </w:rPr>
              <w:fldChar w:fldCharType="separate"/>
            </w:r>
            <w:r>
              <w:rPr>
                <w:rFonts w:cs="Calibri"/>
                <w:b/>
                <w:noProof/>
                <w:color w:val="002060"/>
                <w:sz w:val="24"/>
                <w:szCs w:val="24"/>
              </w:rPr>
              <w:t>446.976,19</w:t>
            </w:r>
            <w:r w:rsidRPr="00711A7A">
              <w:rPr>
                <w:rFonts w:cs="Calibri"/>
                <w:b/>
                <w:color w:val="002060"/>
              </w:rPr>
              <w:fldChar w:fldCharType="end"/>
            </w:r>
          </w:p>
        </w:tc>
      </w:tr>
      <w:tr w:rsidR="002255B1" w:rsidRPr="0084383F" w14:paraId="402555F4" w14:textId="77777777" w:rsidTr="007421A2">
        <w:tc>
          <w:tcPr>
            <w:tcW w:w="5000" w:type="pct"/>
            <w:gridSpan w:val="3"/>
          </w:tcPr>
          <w:p w14:paraId="2F9D49CF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</w:p>
        </w:tc>
      </w:tr>
      <w:tr w:rsidR="002255B1" w:rsidRPr="0084383F" w14:paraId="223FB75D" w14:textId="77777777" w:rsidTr="007421A2">
        <w:tc>
          <w:tcPr>
            <w:tcW w:w="2740" w:type="pct"/>
            <w:shd w:val="clear" w:color="auto" w:fill="F2F2F2" w:themeFill="background1" w:themeFillShade="F2"/>
          </w:tcPr>
          <w:p w14:paraId="735F3D9D" w14:textId="77777777" w:rsidR="002255B1" w:rsidRPr="00711A7A" w:rsidRDefault="002255B1" w:rsidP="007421A2">
            <w:pPr>
              <w:widowControl w:val="0"/>
              <w:ind w:right="-57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711A7A">
              <w:rPr>
                <w:rFonts w:cs="Calibri"/>
                <w:b/>
                <w:sz w:val="24"/>
                <w:szCs w:val="24"/>
              </w:rPr>
              <w:t>Dotación Fundacional</w:t>
            </w:r>
          </w:p>
        </w:tc>
        <w:tc>
          <w:tcPr>
            <w:tcW w:w="1121" w:type="pct"/>
          </w:tcPr>
          <w:p w14:paraId="27CBB748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711A7A">
              <w:rPr>
                <w:rFonts w:cs="Calibri"/>
                <w:b/>
                <w:color w:val="002060"/>
                <w:sz w:val="24"/>
                <w:szCs w:val="24"/>
                <w:shd w:val="clear" w:color="auto" w:fill="FFFFFF"/>
              </w:rPr>
              <w:t>68.752,00 euros</w:t>
            </w:r>
          </w:p>
        </w:tc>
        <w:tc>
          <w:tcPr>
            <w:tcW w:w="1139" w:type="pct"/>
          </w:tcPr>
          <w:p w14:paraId="4D4319C0" w14:textId="77777777" w:rsidR="002255B1" w:rsidRPr="00711A7A" w:rsidRDefault="002255B1" w:rsidP="007421A2">
            <w:pPr>
              <w:widowControl w:val="0"/>
              <w:ind w:right="-57"/>
              <w:jc w:val="center"/>
              <w:rPr>
                <w:rFonts w:cs="Calibri"/>
                <w:b/>
                <w:color w:val="002060"/>
                <w:sz w:val="24"/>
                <w:szCs w:val="24"/>
              </w:rPr>
            </w:pPr>
            <w:r w:rsidRPr="00711A7A">
              <w:rPr>
                <w:rFonts w:cs="Calibri"/>
                <w:b/>
                <w:color w:val="002060"/>
                <w:sz w:val="24"/>
                <w:szCs w:val="24"/>
                <w:shd w:val="clear" w:color="auto" w:fill="FFFFFF"/>
              </w:rPr>
              <w:t>68.752,00 euros</w:t>
            </w:r>
          </w:p>
        </w:tc>
      </w:tr>
    </w:tbl>
    <w:p w14:paraId="016A31BF" w14:textId="77777777" w:rsidR="002255B1" w:rsidRDefault="002255B1" w:rsidP="002255B1"/>
    <w:p w14:paraId="62032063" w14:textId="77777777" w:rsidR="00827C1F" w:rsidRDefault="00827C1F" w:rsidP="00827C1F"/>
    <w:p w14:paraId="2CFE520E" w14:textId="77777777" w:rsidR="00827C1F" w:rsidRDefault="00827C1F" w:rsidP="00827C1F"/>
    <w:p w14:paraId="339EAB18" w14:textId="77777777" w:rsidR="00827C1F" w:rsidRDefault="00827C1F" w:rsidP="00827C1F"/>
    <w:p w14:paraId="6916808C" w14:textId="77777777" w:rsidR="00827C1F" w:rsidRDefault="00827C1F" w:rsidP="00827C1F"/>
    <w:p w14:paraId="1F4E69FB" w14:textId="77777777" w:rsidR="00827C1F" w:rsidRDefault="00827C1F" w:rsidP="00827C1F"/>
    <w:p w14:paraId="1E4483F9" w14:textId="77777777" w:rsidR="00827C1F" w:rsidRDefault="00827C1F" w:rsidP="00827C1F"/>
    <w:p w14:paraId="4587AD5D" w14:textId="77777777" w:rsidR="00827C1F" w:rsidRDefault="00827C1F" w:rsidP="00827C1F"/>
    <w:sectPr w:rsidR="00827C1F" w:rsidSect="006D2C3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AF42" w14:textId="77777777" w:rsidR="009535E8" w:rsidRDefault="009535E8" w:rsidP="006D2C33">
      <w:pPr>
        <w:spacing w:after="0" w:line="240" w:lineRule="auto"/>
      </w:pPr>
      <w:r>
        <w:separator/>
      </w:r>
    </w:p>
  </w:endnote>
  <w:endnote w:type="continuationSeparator" w:id="0">
    <w:p w14:paraId="17EE2B36" w14:textId="77777777" w:rsidR="009535E8" w:rsidRDefault="009535E8" w:rsidP="006D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8918" w14:textId="77777777" w:rsidR="009535E8" w:rsidRDefault="009535E8" w:rsidP="006D2C33">
      <w:pPr>
        <w:spacing w:after="0" w:line="240" w:lineRule="auto"/>
      </w:pPr>
      <w:r>
        <w:separator/>
      </w:r>
    </w:p>
  </w:footnote>
  <w:footnote w:type="continuationSeparator" w:id="0">
    <w:p w14:paraId="11CAA250" w14:textId="77777777" w:rsidR="009535E8" w:rsidRDefault="009535E8" w:rsidP="006D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83AD" w14:textId="1CE1023F" w:rsidR="006D2C33" w:rsidRDefault="006D2C33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7F1FE182" wp14:editId="68146C9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9500" cy="1125220"/>
          <wp:effectExtent l="0" t="0" r="6350" b="0"/>
          <wp:wrapTopAndBottom/>
          <wp:docPr id="1315181686" name="Imagen 1315181686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6D"/>
    <w:rsid w:val="001B4423"/>
    <w:rsid w:val="002255B1"/>
    <w:rsid w:val="003A6720"/>
    <w:rsid w:val="004804FA"/>
    <w:rsid w:val="006D2C33"/>
    <w:rsid w:val="00827C1F"/>
    <w:rsid w:val="009535E8"/>
    <w:rsid w:val="00BA3611"/>
    <w:rsid w:val="00BD576D"/>
    <w:rsid w:val="00DF2AA6"/>
    <w:rsid w:val="00E36F40"/>
    <w:rsid w:val="00F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EF50F"/>
  <w15:chartTrackingRefBased/>
  <w15:docId w15:val="{589AD2D4-DB74-41ED-ABF9-4D2D4612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827C1F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D5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827C1F"/>
    <w:rPr>
      <w:rFonts w:ascii="Arial" w:eastAsia="Times New Roman" w:hAnsi="Arial" w:cs="Times New Roman"/>
      <w:b/>
      <w:sz w:val="20"/>
      <w:szCs w:val="24"/>
      <w:lang w:val="es-ES_tradnl" w:eastAsia="es-ES"/>
    </w:rPr>
  </w:style>
  <w:style w:type="character" w:customStyle="1" w:styleId="FontStyle65">
    <w:name w:val="Font Style65"/>
    <w:rsid w:val="00827C1F"/>
    <w:rPr>
      <w:rFonts w:ascii="Arial" w:hAnsi="Arial" w:cs="Arial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D2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C33"/>
  </w:style>
  <w:style w:type="paragraph" w:styleId="Piedepgina">
    <w:name w:val="footer"/>
    <w:basedOn w:val="Normal"/>
    <w:link w:val="PiedepginaCar"/>
    <w:uiPriority w:val="99"/>
    <w:unhideWhenUsed/>
    <w:rsid w:val="006D2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Los Realejos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Rodríguez Pérez</dc:creator>
  <cp:keywords/>
  <dc:description/>
  <cp:lastModifiedBy>Eduardo González González</cp:lastModifiedBy>
  <cp:revision>5</cp:revision>
  <dcterms:created xsi:type="dcterms:W3CDTF">2026-03-19T20:58:00Z</dcterms:created>
  <dcterms:modified xsi:type="dcterms:W3CDTF">2026-03-20T10:39:00Z</dcterms:modified>
</cp:coreProperties>
</file>