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1613" w14:textId="188E495B" w:rsidR="00F5718D" w:rsidRPr="00B5579D" w:rsidRDefault="00E5218B" w:rsidP="005B04C4">
      <w:pPr>
        <w:spacing w:before="160" w:after="120" w:line="240" w:lineRule="auto"/>
        <w:jc w:val="both"/>
        <w:rPr>
          <w:rFonts w:cstheme="minorHAnsi"/>
          <w:b/>
          <w:sz w:val="28"/>
          <w:szCs w:val="24"/>
        </w:rPr>
      </w:pPr>
      <w:r w:rsidRPr="00B5579D">
        <w:rPr>
          <w:rFonts w:cstheme="minorHAnsi"/>
          <w:b/>
          <w:sz w:val="28"/>
          <w:szCs w:val="24"/>
        </w:rPr>
        <w:t>1096.</w:t>
      </w:r>
      <w:r w:rsidR="00474791" w:rsidRPr="00B5579D">
        <w:rPr>
          <w:rFonts w:cstheme="minorHAnsi"/>
          <w:b/>
          <w:sz w:val="28"/>
          <w:szCs w:val="24"/>
        </w:rPr>
        <w:t xml:space="preserve"> </w:t>
      </w:r>
      <w:r w:rsidRPr="00B5579D">
        <w:rPr>
          <w:rFonts w:cstheme="minorHAnsi"/>
          <w:b/>
          <w:sz w:val="28"/>
          <w:szCs w:val="24"/>
        </w:rPr>
        <w:t>Informes de auditoría de cuentas y de fiscalización por los órganos de control externo</w:t>
      </w:r>
    </w:p>
    <w:p w14:paraId="527C4C3B" w14:textId="77777777" w:rsidR="005B04C4" w:rsidRPr="005B04C4" w:rsidRDefault="005B04C4" w:rsidP="005B04C4">
      <w:pPr>
        <w:spacing w:before="160" w:after="120" w:line="240" w:lineRule="auto"/>
        <w:jc w:val="both"/>
        <w:rPr>
          <w:rFonts w:cstheme="minorHAnsi"/>
          <w:iCs/>
          <w:sz w:val="28"/>
          <w:szCs w:val="24"/>
        </w:rPr>
      </w:pPr>
      <w:r w:rsidRPr="005B04C4">
        <w:rPr>
          <w:rFonts w:cstheme="minorHAnsi"/>
          <w:iCs/>
          <w:sz w:val="28"/>
          <w:szCs w:val="24"/>
        </w:rPr>
        <w:t>Las cuentas anuales de la Fundación Canaria para la Promoción, el Desarrollo y la Gestión del Centro de Formación en Nuevas Tecnologías (FUNCANORTE), correspondientes al ejercicio 2024 y rendidas durante el ejercicio 2025, no fueron objeto de auditoría externa ni de actuaciones de fiscalización por órganos de control externo.</w:t>
      </w:r>
    </w:p>
    <w:p w14:paraId="646599F2" w14:textId="77777777" w:rsidR="005B04C4" w:rsidRPr="005B04C4" w:rsidRDefault="005B04C4" w:rsidP="005B04C4">
      <w:pPr>
        <w:spacing w:before="160" w:after="120" w:line="240" w:lineRule="auto"/>
        <w:jc w:val="both"/>
        <w:rPr>
          <w:rFonts w:cstheme="minorHAnsi"/>
          <w:iCs/>
          <w:sz w:val="28"/>
          <w:szCs w:val="24"/>
        </w:rPr>
      </w:pPr>
      <w:r w:rsidRPr="005B04C4">
        <w:rPr>
          <w:rFonts w:cstheme="minorHAnsi"/>
          <w:iCs/>
          <w:sz w:val="28"/>
          <w:szCs w:val="24"/>
        </w:rPr>
        <w:t>En consecuencia, no existen informes de auditoría de cuentas ni informes de fiscalización que deban ser publicados en relación con el citado ejercicio.</w:t>
      </w:r>
    </w:p>
    <w:p w14:paraId="47B531FC" w14:textId="5344E6C2" w:rsidR="005B04C4" w:rsidRPr="005B04C4" w:rsidRDefault="005B04C4" w:rsidP="005B04C4">
      <w:pPr>
        <w:spacing w:before="160" w:after="120" w:line="240" w:lineRule="auto"/>
        <w:jc w:val="both"/>
        <w:rPr>
          <w:rFonts w:cstheme="minorHAnsi"/>
          <w:b/>
          <w:bCs/>
          <w:iCs/>
          <w:sz w:val="28"/>
          <w:szCs w:val="24"/>
        </w:rPr>
      </w:pPr>
      <w:r w:rsidRPr="005B04C4">
        <w:rPr>
          <w:rFonts w:cstheme="minorHAnsi"/>
          <w:b/>
          <w:bCs/>
          <w:iCs/>
          <w:sz w:val="28"/>
          <w:szCs w:val="24"/>
        </w:rPr>
        <w:t>OBSERVACIONES</w:t>
      </w:r>
    </w:p>
    <w:p w14:paraId="6FA38F13" w14:textId="22F7D5B9" w:rsidR="00E36D60" w:rsidRPr="00E36D60" w:rsidRDefault="005B04C4" w:rsidP="005B04C4">
      <w:pPr>
        <w:spacing w:before="160" w:after="120" w:line="240" w:lineRule="auto"/>
        <w:jc w:val="both"/>
        <w:rPr>
          <w:rFonts w:ascii="Verdana" w:hAnsi="Verdana"/>
          <w:sz w:val="24"/>
        </w:rPr>
      </w:pPr>
      <w:r w:rsidRPr="005B04C4">
        <w:rPr>
          <w:rFonts w:cstheme="minorHAnsi"/>
          <w:iCs/>
          <w:sz w:val="28"/>
          <w:szCs w:val="24"/>
        </w:rPr>
        <w:t>La Fundación no dispone de informes de auditoría ni de fiscalización externa relativos a las cuentas anuales del ejercicio 2024, por lo que no existe documentación adicional que publicar en cumplimiento de esta obligación de transparencia.</w:t>
      </w:r>
      <w:r w:rsidR="00E36D60" w:rsidRPr="00E36D60">
        <w:rPr>
          <w:rFonts w:ascii="Verdana" w:hAnsi="Verdana"/>
          <w:sz w:val="24"/>
        </w:rPr>
        <w:t xml:space="preserve"> </w:t>
      </w:r>
    </w:p>
    <w:sectPr w:rsidR="00E36D60" w:rsidRPr="00E36D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4D8C" w14:textId="77777777" w:rsidR="00BB2568" w:rsidRDefault="00BB2568" w:rsidP="001341FB">
      <w:pPr>
        <w:spacing w:after="0" w:line="240" w:lineRule="auto"/>
      </w:pPr>
      <w:r>
        <w:separator/>
      </w:r>
    </w:p>
  </w:endnote>
  <w:endnote w:type="continuationSeparator" w:id="0">
    <w:p w14:paraId="6CE68890" w14:textId="77777777" w:rsidR="00BB2568" w:rsidRDefault="00BB2568" w:rsidP="0013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C8A4" w14:textId="77777777" w:rsidR="00BB2568" w:rsidRDefault="00BB2568" w:rsidP="001341FB">
      <w:pPr>
        <w:spacing w:after="0" w:line="240" w:lineRule="auto"/>
      </w:pPr>
      <w:r>
        <w:separator/>
      </w:r>
    </w:p>
  </w:footnote>
  <w:footnote w:type="continuationSeparator" w:id="0">
    <w:p w14:paraId="71197979" w14:textId="77777777" w:rsidR="00BB2568" w:rsidRDefault="00BB2568" w:rsidP="0013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E74E" w14:textId="2E574EF9" w:rsidR="001341FB" w:rsidRDefault="001341F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962330" wp14:editId="7D9DF30E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904875" cy="94234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890" cy="9448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82AA4"/>
    <w:rsid w:val="000B371C"/>
    <w:rsid w:val="000D0286"/>
    <w:rsid w:val="000E3E41"/>
    <w:rsid w:val="00121C18"/>
    <w:rsid w:val="001341FB"/>
    <w:rsid w:val="00174B60"/>
    <w:rsid w:val="001F7A7C"/>
    <w:rsid w:val="00283F70"/>
    <w:rsid w:val="002C4138"/>
    <w:rsid w:val="00310E8B"/>
    <w:rsid w:val="00397ABA"/>
    <w:rsid w:val="00474791"/>
    <w:rsid w:val="00514035"/>
    <w:rsid w:val="005B04C4"/>
    <w:rsid w:val="0072043B"/>
    <w:rsid w:val="00875453"/>
    <w:rsid w:val="00AA7445"/>
    <w:rsid w:val="00B423B2"/>
    <w:rsid w:val="00B5579D"/>
    <w:rsid w:val="00B70BB5"/>
    <w:rsid w:val="00BB2568"/>
    <w:rsid w:val="00BE2E40"/>
    <w:rsid w:val="00DE5789"/>
    <w:rsid w:val="00E30917"/>
    <w:rsid w:val="00E36D60"/>
    <w:rsid w:val="00E5218B"/>
    <w:rsid w:val="00ED092C"/>
    <w:rsid w:val="00F5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C3A9B"/>
  <w15:docId w15:val="{1DD282BB-BF4E-47CA-A776-4EDAEA9E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DE578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1341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1FB"/>
  </w:style>
  <w:style w:type="paragraph" w:styleId="Piedepgina">
    <w:name w:val="footer"/>
    <w:basedOn w:val="Normal"/>
    <w:link w:val="PiedepginaCar"/>
    <w:uiPriority w:val="99"/>
    <w:unhideWhenUsed/>
    <w:rsid w:val="001341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1FB"/>
  </w:style>
  <w:style w:type="paragraph" w:customStyle="1" w:styleId="xmsonormal">
    <w:name w:val="x_msonormal"/>
    <w:basedOn w:val="Normal"/>
    <w:rsid w:val="00E3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7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13</cp:revision>
  <dcterms:created xsi:type="dcterms:W3CDTF">2020-06-15T13:58:00Z</dcterms:created>
  <dcterms:modified xsi:type="dcterms:W3CDTF">2026-06-16T11:59:00Z</dcterms:modified>
</cp:coreProperties>
</file>