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5"/>
        </w:rPr>
      </w:pPr>
    </w:p>
    <w:p>
      <w:pPr>
        <w:spacing w:after="0"/>
        <w:rPr>
          <w:rFonts w:ascii="Times New Roman"/>
          <w:sz w:val="25"/>
        </w:rPr>
        <w:sectPr>
          <w:type w:val="continuous"/>
          <w:pgSz w:w="22420" w:h="31660"/>
          <w:pgMar w:top="420" w:bottom="280" w:left="1180" w:right="3100"/>
        </w:sectPr>
      </w:pPr>
    </w:p>
    <w:p>
      <w:pPr>
        <w:pStyle w:val="BodyText"/>
        <w:rPr>
          <w:rFonts w:ascii="Times New Roman"/>
          <w:sz w:val="42"/>
        </w:rPr>
      </w:pPr>
    </w:p>
    <w:p>
      <w:pPr>
        <w:pStyle w:val="BodyText"/>
        <w:rPr>
          <w:rFonts w:ascii="Times New Roman"/>
          <w:sz w:val="50"/>
        </w:rPr>
      </w:pPr>
    </w:p>
    <w:p>
      <w:pPr>
        <w:spacing w:before="1"/>
        <w:ind w:left="159" w:right="0" w:firstLine="0"/>
        <w:jc w:val="left"/>
        <w:rPr>
          <w:rFonts w:ascii="Arial"/>
          <w:b/>
          <w:sz w:val="30"/>
        </w:rPr>
      </w:pPr>
      <w:r>
        <w:rPr>
          <w:rFonts w:ascii="Arial"/>
          <w:color w:val="FEFEFE"/>
          <w:position w:val="-5"/>
          <w:sz w:val="37"/>
        </w:rPr>
        <w:t>. </w:t>
      </w:r>
      <w:r>
        <w:rPr>
          <w:rFonts w:ascii="Arial"/>
          <w:b/>
          <w:sz w:val="30"/>
        </w:rPr>
        <w:t>A) OPERACIONES CONTINUADAS</w:t>
      </w:r>
    </w:p>
    <w:p>
      <w:pPr>
        <w:spacing w:line="281" w:lineRule="exact" w:before="92"/>
        <w:ind w:left="159" w:right="0" w:firstLine="0"/>
        <w:jc w:val="left"/>
        <w:rPr>
          <w:rFonts w:ascii="Arial"/>
          <w:sz w:val="30"/>
        </w:rPr>
      </w:pPr>
      <w:r>
        <w:rPr/>
        <w:br w:type="column"/>
      </w:r>
      <w:r>
        <w:rPr>
          <w:rFonts w:ascii="Arial"/>
          <w:sz w:val="30"/>
        </w:rPr>
        <w:t>Notas de la</w:t>
      </w:r>
    </w:p>
    <w:p>
      <w:pPr>
        <w:tabs>
          <w:tab w:pos="3388" w:val="left" w:leader="none"/>
          <w:tab w:pos="8459" w:val="right" w:leader="none"/>
        </w:tabs>
        <w:spacing w:line="189" w:lineRule="auto" w:before="0"/>
        <w:ind w:left="375" w:right="0" w:firstLine="0"/>
        <w:jc w:val="left"/>
        <w:rPr>
          <w:rFonts w:ascii="Arial"/>
          <w:b/>
          <w:sz w:val="33"/>
        </w:rPr>
      </w:pPr>
      <w:r>
        <w:rPr>
          <w:rFonts w:ascii="Arial"/>
          <w:position w:val="-7"/>
          <w:sz w:val="30"/>
        </w:rPr>
        <w:t>Memoria</w:t>
        <w:tab/>
      </w:r>
      <w:r>
        <w:rPr>
          <w:rFonts w:ascii="Arial"/>
          <w:b/>
          <w:sz w:val="33"/>
        </w:rPr>
        <w:t>2024</w:t>
        <w:tab/>
        <w:t>2023</w:t>
      </w:r>
    </w:p>
    <w:p>
      <w:pPr>
        <w:spacing w:after="0" w:line="189" w:lineRule="auto"/>
        <w:jc w:val="left"/>
        <w:rPr>
          <w:rFonts w:ascii="Arial"/>
          <w:sz w:val="33"/>
        </w:rPr>
        <w:sectPr>
          <w:type w:val="continuous"/>
          <w:pgSz w:w="22420" w:h="31660"/>
          <w:pgMar w:top="420" w:bottom="280" w:left="1180" w:right="3100"/>
          <w:cols w:num="2" w:equalWidth="0">
            <w:col w:w="5408" w:space="3231"/>
            <w:col w:w="9501"/>
          </w:cols>
        </w:sectPr>
      </w:pPr>
    </w:p>
    <w:p>
      <w:pPr>
        <w:tabs>
          <w:tab w:pos="517" w:val="left" w:leader="none"/>
        </w:tabs>
        <w:spacing w:before="6"/>
        <w:ind w:left="159" w:right="0" w:firstLine="0"/>
        <w:jc w:val="left"/>
        <w:rPr>
          <w:rFonts w:ascii="Arial"/>
          <w:b/>
          <w:sz w:val="30"/>
        </w:rPr>
      </w:pPr>
      <w:r>
        <w:rPr>
          <w:rFonts w:ascii="Arial"/>
          <w:color w:val="FEFEFE"/>
          <w:position w:val="-5"/>
          <w:sz w:val="37"/>
        </w:rPr>
        <w:t>.</w:t>
        <w:tab/>
      </w:r>
      <w:r>
        <w:rPr>
          <w:rFonts w:ascii="Arial"/>
          <w:b/>
          <w:sz w:val="30"/>
        </w:rPr>
        <w:t>1 Ingresos de la actividad</w:t>
      </w:r>
      <w:r>
        <w:rPr>
          <w:rFonts w:ascii="Arial"/>
          <w:b/>
          <w:spacing w:val="2"/>
          <w:sz w:val="30"/>
        </w:rPr>
        <w:t> </w:t>
      </w:r>
      <w:r>
        <w:rPr>
          <w:rFonts w:ascii="Arial"/>
          <w:b/>
          <w:sz w:val="30"/>
        </w:rPr>
        <w:t>propia</w:t>
      </w:r>
    </w:p>
    <w:p>
      <w:pPr>
        <w:spacing w:before="5"/>
        <w:ind w:left="159" w:right="0" w:firstLine="0"/>
        <w:jc w:val="left"/>
        <w:rPr>
          <w:rFonts w:ascii="Arial"/>
          <w:sz w:val="37"/>
        </w:rPr>
      </w:pPr>
      <w:r>
        <w:rPr/>
        <w:pict>
          <v:shapetype id="_x0000_t202" o:spt="202" coordsize="21600,21600" path="m,l,21600r21600,l21600,xe">
            <v:stroke joinstyle="miter"/>
            <v:path gradientshapeok="t" o:connecttype="rect"/>
          </v:shapetype>
          <v:shape style="position:absolute;margin-left:94.907028pt;margin-top:1.037088pt;width:865.15pt;height:38.450pt;mso-position-horizontal-relative:page;mso-position-vertical-relative:paragraph;z-index:251667456"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80"/>
                    <w:gridCol w:w="5757"/>
                    <w:gridCol w:w="2964"/>
                  </w:tblGrid>
                  <w:tr>
                    <w:trPr>
                      <w:trHeight w:val="384" w:hRule="atLeast"/>
                    </w:trPr>
                    <w:tc>
                      <w:tcPr>
                        <w:tcW w:w="8580" w:type="dxa"/>
                      </w:tcPr>
                      <w:p>
                        <w:pPr>
                          <w:pStyle w:val="TableParagraph"/>
                          <w:spacing w:line="337" w:lineRule="exact" w:before="0"/>
                          <w:ind w:left="50"/>
                          <w:rPr>
                            <w:rFonts w:ascii="Arial"/>
                            <w:sz w:val="30"/>
                          </w:rPr>
                        </w:pPr>
                        <w:r>
                          <w:rPr>
                            <w:rFonts w:ascii="Arial"/>
                            <w:sz w:val="30"/>
                          </w:rPr>
                          <w:t>b) Aportaciones de usuarios</w:t>
                        </w:r>
                      </w:p>
                    </w:tc>
                    <w:tc>
                      <w:tcPr>
                        <w:tcW w:w="5757" w:type="dxa"/>
                      </w:tcPr>
                      <w:p>
                        <w:pPr>
                          <w:pStyle w:val="TableParagraph"/>
                          <w:spacing w:line="337" w:lineRule="exact" w:before="0"/>
                          <w:ind w:right="1402"/>
                          <w:jc w:val="right"/>
                          <w:rPr>
                            <w:rFonts w:ascii="Arial"/>
                            <w:sz w:val="30"/>
                          </w:rPr>
                        </w:pPr>
                        <w:r>
                          <w:rPr>
                            <w:rFonts w:ascii="Arial"/>
                            <w:sz w:val="30"/>
                          </w:rPr>
                          <w:t>112.417,88</w:t>
                        </w:r>
                      </w:p>
                    </w:tc>
                    <w:tc>
                      <w:tcPr>
                        <w:tcW w:w="2964" w:type="dxa"/>
                      </w:tcPr>
                      <w:p>
                        <w:pPr>
                          <w:pStyle w:val="TableParagraph"/>
                          <w:spacing w:line="337" w:lineRule="exact" w:before="0"/>
                          <w:ind w:right="46"/>
                          <w:jc w:val="right"/>
                          <w:rPr>
                            <w:rFonts w:ascii="Arial"/>
                            <w:sz w:val="30"/>
                          </w:rPr>
                        </w:pPr>
                        <w:r>
                          <w:rPr>
                            <w:rFonts w:ascii="Arial"/>
                            <w:sz w:val="30"/>
                          </w:rPr>
                          <w:t>102.735,91</w:t>
                        </w:r>
                      </w:p>
                    </w:tc>
                  </w:tr>
                  <w:tr>
                    <w:trPr>
                      <w:trHeight w:val="384" w:hRule="atLeast"/>
                    </w:trPr>
                    <w:tc>
                      <w:tcPr>
                        <w:tcW w:w="8580" w:type="dxa"/>
                      </w:tcPr>
                      <w:p>
                        <w:pPr>
                          <w:pStyle w:val="TableParagraph"/>
                          <w:spacing w:line="325" w:lineRule="exact" w:before="39"/>
                          <w:ind w:left="50"/>
                          <w:rPr>
                            <w:rFonts w:ascii="Arial"/>
                            <w:sz w:val="30"/>
                          </w:rPr>
                        </w:pPr>
                        <w:r>
                          <w:rPr>
                            <w:rFonts w:ascii="Arial"/>
                            <w:sz w:val="30"/>
                          </w:rPr>
                          <w:t>d) Subv.imputadas al excedente del ejerc.</w:t>
                        </w:r>
                      </w:p>
                    </w:tc>
                    <w:tc>
                      <w:tcPr>
                        <w:tcW w:w="5757" w:type="dxa"/>
                      </w:tcPr>
                      <w:p>
                        <w:pPr>
                          <w:pStyle w:val="TableParagraph"/>
                          <w:spacing w:line="325" w:lineRule="exact" w:before="39"/>
                          <w:ind w:right="1402"/>
                          <w:jc w:val="right"/>
                          <w:rPr>
                            <w:rFonts w:ascii="Arial"/>
                            <w:sz w:val="30"/>
                          </w:rPr>
                        </w:pPr>
                        <w:r>
                          <w:rPr>
                            <w:rFonts w:ascii="Arial"/>
                            <w:sz w:val="30"/>
                          </w:rPr>
                          <w:t>325.625,12</w:t>
                        </w:r>
                      </w:p>
                    </w:tc>
                    <w:tc>
                      <w:tcPr>
                        <w:tcW w:w="2964" w:type="dxa"/>
                      </w:tcPr>
                      <w:p>
                        <w:pPr>
                          <w:pStyle w:val="TableParagraph"/>
                          <w:spacing w:line="325" w:lineRule="exact" w:before="39"/>
                          <w:ind w:right="46"/>
                          <w:jc w:val="right"/>
                          <w:rPr>
                            <w:rFonts w:ascii="Arial"/>
                            <w:sz w:val="30"/>
                          </w:rPr>
                        </w:pPr>
                        <w:r>
                          <w:rPr>
                            <w:rFonts w:ascii="Arial"/>
                            <w:sz w:val="30"/>
                          </w:rPr>
                          <w:t>267.007,84</w:t>
                        </w:r>
                      </w:p>
                    </w:tc>
                  </w:tr>
                </w:tbl>
                <w:p>
                  <w:pPr>
                    <w:pStyle w:val="BodyText"/>
                  </w:pPr>
                </w:p>
              </w:txbxContent>
            </v:textbox>
            <w10:wrap type="none"/>
          </v:shape>
        </w:pict>
      </w:r>
      <w:r>
        <w:rPr>
          <w:rFonts w:ascii="Arial"/>
          <w:color w:val="FEFEFE"/>
          <w:w w:val="101"/>
          <w:sz w:val="37"/>
        </w:rPr>
        <w:t>.</w:t>
      </w:r>
    </w:p>
    <w:p>
      <w:pPr>
        <w:spacing w:before="6"/>
        <w:ind w:left="159" w:right="0" w:firstLine="0"/>
        <w:jc w:val="left"/>
        <w:rPr>
          <w:rFonts w:ascii="Arial"/>
          <w:sz w:val="37"/>
        </w:rPr>
      </w:pPr>
      <w:r>
        <w:rPr>
          <w:rFonts w:ascii="Arial"/>
          <w:color w:val="FEFEFE"/>
          <w:w w:val="101"/>
          <w:sz w:val="37"/>
        </w:rPr>
        <w:t>.</w:t>
      </w:r>
    </w:p>
    <w:p>
      <w:pPr>
        <w:tabs>
          <w:tab w:pos="517" w:val="left" w:leader="none"/>
        </w:tabs>
        <w:spacing w:before="9"/>
        <w:ind w:left="159" w:right="0" w:firstLine="0"/>
        <w:jc w:val="left"/>
        <w:rPr>
          <w:rFonts w:ascii="Arial"/>
          <w:b/>
          <w:sz w:val="30"/>
        </w:rPr>
      </w:pPr>
      <w:r>
        <w:rPr>
          <w:rFonts w:ascii="Arial"/>
          <w:color w:val="FEFEFE"/>
          <w:position w:val="-5"/>
          <w:sz w:val="37"/>
        </w:rPr>
        <w:t>.</w:t>
        <w:tab/>
      </w:r>
      <w:r>
        <w:rPr>
          <w:rFonts w:ascii="Arial"/>
          <w:b/>
          <w:sz w:val="30"/>
        </w:rPr>
        <w:t>3 Gastos por ayudas y otros</w:t>
      </w:r>
    </w:p>
    <w:p>
      <w:pPr>
        <w:tabs>
          <w:tab w:pos="768" w:val="left" w:leader="none"/>
        </w:tabs>
        <w:spacing w:before="6"/>
        <w:ind w:left="159" w:right="0" w:firstLine="0"/>
        <w:jc w:val="left"/>
        <w:rPr>
          <w:rFonts w:ascii="Arial"/>
          <w:sz w:val="30"/>
        </w:rPr>
      </w:pPr>
      <w:r>
        <w:rPr>
          <w:rFonts w:ascii="Arial"/>
          <w:color w:val="FEFEFE"/>
          <w:position w:val="-5"/>
          <w:sz w:val="37"/>
        </w:rPr>
        <w:t>.</w:t>
        <w:tab/>
      </w:r>
      <w:r>
        <w:rPr>
          <w:rFonts w:ascii="Arial"/>
          <w:sz w:val="30"/>
        </w:rPr>
        <w:t>a) Ayudas monetarias</w:t>
      </w:r>
    </w:p>
    <w:p>
      <w:pPr>
        <w:tabs>
          <w:tab w:pos="4478" w:val="left" w:leader="none"/>
        </w:tabs>
        <w:spacing w:before="12"/>
        <w:ind w:left="159" w:right="0" w:firstLine="0"/>
        <w:jc w:val="left"/>
        <w:rPr>
          <w:rFonts w:ascii="Arial"/>
          <w:b/>
          <w:sz w:val="30"/>
        </w:rPr>
      </w:pPr>
      <w:r>
        <w:rPr/>
        <w:br w:type="column"/>
      </w:r>
      <w:r>
        <w:rPr>
          <w:rFonts w:ascii="Arial"/>
          <w:b/>
          <w:sz w:val="30"/>
        </w:rPr>
        <w:t>438.043,00</w:t>
        <w:tab/>
        <w:t>369.743,75</w:t>
      </w:r>
    </w:p>
    <w:p>
      <w:pPr>
        <w:pStyle w:val="BodyText"/>
        <w:rPr>
          <w:rFonts w:ascii="Arial"/>
          <w:b/>
          <w:sz w:val="34"/>
        </w:rPr>
      </w:pPr>
    </w:p>
    <w:p>
      <w:pPr>
        <w:pStyle w:val="BodyText"/>
        <w:spacing w:before="8"/>
        <w:rPr>
          <w:rFonts w:ascii="Arial"/>
          <w:b/>
          <w:sz w:val="48"/>
        </w:rPr>
      </w:pPr>
    </w:p>
    <w:p>
      <w:pPr>
        <w:spacing w:before="0"/>
        <w:ind w:left="391" w:right="0" w:firstLine="0"/>
        <w:jc w:val="left"/>
        <w:rPr>
          <w:rFonts w:ascii="Arial"/>
          <w:b/>
          <w:sz w:val="30"/>
        </w:rPr>
      </w:pPr>
      <w:r>
        <w:rPr>
          <w:rFonts w:ascii="Arial"/>
          <w:b/>
          <w:sz w:val="30"/>
        </w:rPr>
        <w:t>-4.930,66</w:t>
      </w:r>
    </w:p>
    <w:p>
      <w:pPr>
        <w:spacing w:before="87"/>
        <w:ind w:left="391" w:right="0" w:firstLine="0"/>
        <w:jc w:val="left"/>
        <w:rPr>
          <w:rFonts w:ascii="Arial"/>
          <w:sz w:val="30"/>
        </w:rPr>
      </w:pPr>
      <w:r>
        <w:rPr>
          <w:rFonts w:ascii="Arial"/>
          <w:sz w:val="30"/>
        </w:rPr>
        <w:t>-4.930,66</w:t>
      </w:r>
    </w:p>
    <w:p>
      <w:pPr>
        <w:spacing w:after="0"/>
        <w:jc w:val="left"/>
        <w:rPr>
          <w:rFonts w:ascii="Arial"/>
          <w:sz w:val="30"/>
        </w:rPr>
        <w:sectPr>
          <w:type w:val="continuous"/>
          <w:pgSz w:w="22420" w:h="31660"/>
          <w:pgMar w:top="420" w:bottom="280" w:left="1180" w:right="3100"/>
          <w:cols w:num="2" w:equalWidth="0">
            <w:col w:w="5306" w:space="6677"/>
            <w:col w:w="6157"/>
          </w:cols>
        </w:sectPr>
      </w:pPr>
    </w:p>
    <w:tbl>
      <w:tblPr>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216"/>
        <w:gridCol w:w="4684"/>
        <w:gridCol w:w="3015"/>
      </w:tblGrid>
      <w:tr>
        <w:trPr>
          <w:trHeight w:val="384" w:hRule="atLeast"/>
        </w:trPr>
        <w:tc>
          <w:tcPr>
            <w:tcW w:w="10216" w:type="dxa"/>
          </w:tcPr>
          <w:p>
            <w:pPr>
              <w:pStyle w:val="TableParagraph"/>
              <w:tabs>
                <w:tab w:pos="408" w:val="left" w:leader="none"/>
              </w:tabs>
              <w:spacing w:line="364" w:lineRule="exact" w:before="0"/>
              <w:ind w:left="50"/>
              <w:rPr>
                <w:rFonts w:ascii="Arial"/>
                <w:b/>
                <w:sz w:val="30"/>
              </w:rPr>
            </w:pPr>
            <w:r>
              <w:rPr>
                <w:rFonts w:ascii="Arial"/>
                <w:color w:val="FEFEFE"/>
                <w:position w:val="-5"/>
                <w:sz w:val="37"/>
              </w:rPr>
              <w:t>.</w:t>
              <w:tab/>
            </w:r>
            <w:r>
              <w:rPr>
                <w:rFonts w:ascii="Arial"/>
                <w:b/>
                <w:sz w:val="30"/>
              </w:rPr>
              <w:t>7 Otros ingresos de la</w:t>
            </w:r>
            <w:r>
              <w:rPr>
                <w:rFonts w:ascii="Arial"/>
                <w:b/>
                <w:spacing w:val="-4"/>
                <w:sz w:val="30"/>
              </w:rPr>
              <w:t> </w:t>
            </w:r>
            <w:r>
              <w:rPr>
                <w:rFonts w:ascii="Arial"/>
                <w:b/>
                <w:sz w:val="30"/>
              </w:rPr>
              <w:t>actividad</w:t>
            </w:r>
          </w:p>
        </w:tc>
        <w:tc>
          <w:tcPr>
            <w:tcW w:w="4684" w:type="dxa"/>
          </w:tcPr>
          <w:p>
            <w:pPr>
              <w:pStyle w:val="TableParagraph"/>
              <w:spacing w:line="337" w:lineRule="exact" w:before="0"/>
              <w:ind w:right="1366"/>
              <w:jc w:val="right"/>
              <w:rPr>
                <w:rFonts w:ascii="Arial"/>
                <w:b/>
                <w:sz w:val="30"/>
              </w:rPr>
            </w:pPr>
            <w:r>
              <w:rPr>
                <w:rFonts w:ascii="Arial"/>
                <w:b/>
                <w:sz w:val="30"/>
              </w:rPr>
              <w:t>148,76</w:t>
            </w:r>
          </w:p>
        </w:tc>
        <w:tc>
          <w:tcPr>
            <w:tcW w:w="3015" w:type="dxa"/>
          </w:tcPr>
          <w:p>
            <w:pPr>
              <w:pStyle w:val="TableParagraph"/>
              <w:spacing w:line="337" w:lineRule="exact" w:before="0"/>
              <w:ind w:right="61"/>
              <w:jc w:val="right"/>
              <w:rPr>
                <w:rFonts w:ascii="Arial"/>
                <w:b/>
                <w:sz w:val="30"/>
              </w:rPr>
            </w:pPr>
            <w:r>
              <w:rPr>
                <w:rFonts w:ascii="Arial"/>
                <w:b/>
                <w:sz w:val="30"/>
              </w:rPr>
              <w:t>766,32</w:t>
            </w:r>
          </w:p>
        </w:tc>
      </w:tr>
      <w:tr>
        <w:trPr>
          <w:trHeight w:val="384" w:hRule="atLeast"/>
        </w:trPr>
        <w:tc>
          <w:tcPr>
            <w:tcW w:w="10216" w:type="dxa"/>
          </w:tcPr>
          <w:p>
            <w:pPr>
              <w:pStyle w:val="TableParagraph"/>
              <w:tabs>
                <w:tab w:pos="408" w:val="left" w:leader="none"/>
              </w:tabs>
              <w:spacing w:line="331" w:lineRule="exact" w:before="33"/>
              <w:ind w:left="50"/>
              <w:rPr>
                <w:rFonts w:ascii="Arial"/>
                <w:b/>
                <w:sz w:val="30"/>
              </w:rPr>
            </w:pPr>
            <w:r>
              <w:rPr>
                <w:rFonts w:ascii="Arial"/>
                <w:color w:val="FEFEFE"/>
                <w:position w:val="-5"/>
                <w:sz w:val="37"/>
              </w:rPr>
              <w:t>.</w:t>
              <w:tab/>
            </w:r>
            <w:r>
              <w:rPr>
                <w:rFonts w:ascii="Arial"/>
                <w:b/>
                <w:sz w:val="30"/>
              </w:rPr>
              <w:t>8 Gastos de</w:t>
            </w:r>
            <w:r>
              <w:rPr>
                <w:rFonts w:ascii="Arial"/>
                <w:b/>
                <w:spacing w:val="-3"/>
                <w:sz w:val="30"/>
              </w:rPr>
              <w:t> </w:t>
            </w:r>
            <w:r>
              <w:rPr>
                <w:rFonts w:ascii="Arial"/>
                <w:b/>
                <w:sz w:val="30"/>
              </w:rPr>
              <w:t>personal</w:t>
            </w:r>
          </w:p>
        </w:tc>
        <w:tc>
          <w:tcPr>
            <w:tcW w:w="4684" w:type="dxa"/>
          </w:tcPr>
          <w:p>
            <w:pPr>
              <w:pStyle w:val="TableParagraph"/>
              <w:spacing w:line="325" w:lineRule="exact" w:before="39"/>
              <w:ind w:right="1353"/>
              <w:jc w:val="right"/>
              <w:rPr>
                <w:rFonts w:ascii="Arial"/>
                <w:b/>
                <w:sz w:val="30"/>
              </w:rPr>
            </w:pPr>
            <w:r>
              <w:rPr>
                <w:rFonts w:ascii="Arial"/>
                <w:b/>
                <w:sz w:val="30"/>
              </w:rPr>
              <w:t>-304.888,43</w:t>
            </w:r>
          </w:p>
        </w:tc>
        <w:tc>
          <w:tcPr>
            <w:tcW w:w="3015" w:type="dxa"/>
          </w:tcPr>
          <w:p>
            <w:pPr>
              <w:pStyle w:val="TableParagraph"/>
              <w:spacing w:line="325" w:lineRule="exact" w:before="39"/>
              <w:ind w:right="48"/>
              <w:jc w:val="right"/>
              <w:rPr>
                <w:rFonts w:ascii="Arial"/>
                <w:b/>
                <w:sz w:val="30"/>
              </w:rPr>
            </w:pPr>
            <w:r>
              <w:rPr>
                <w:rFonts w:ascii="Arial"/>
                <w:b/>
                <w:sz w:val="30"/>
              </w:rPr>
              <w:t>-306.708,86</w:t>
            </w:r>
          </w:p>
        </w:tc>
      </w:tr>
      <w:tr>
        <w:trPr>
          <w:trHeight w:val="479" w:hRule="atLeast"/>
        </w:trPr>
        <w:tc>
          <w:tcPr>
            <w:tcW w:w="10216" w:type="dxa"/>
          </w:tcPr>
          <w:p>
            <w:pPr>
              <w:pStyle w:val="TableParagraph"/>
              <w:tabs>
                <w:tab w:pos="658" w:val="left" w:leader="none"/>
              </w:tabs>
              <w:spacing w:line="379" w:lineRule="exact" w:before="81"/>
              <w:ind w:left="50"/>
              <w:rPr>
                <w:rFonts w:ascii="Arial"/>
                <w:sz w:val="30"/>
              </w:rPr>
            </w:pPr>
            <w:r>
              <w:rPr>
                <w:rFonts w:ascii="Arial"/>
                <w:color w:val="FEFEFE"/>
                <w:position w:val="-5"/>
                <w:sz w:val="37"/>
              </w:rPr>
              <w:t>.</w:t>
              <w:tab/>
            </w:r>
            <w:r>
              <w:rPr>
                <w:rFonts w:ascii="Arial"/>
                <w:sz w:val="30"/>
              </w:rPr>
              <w:t>a) Sueldos, salarios y</w:t>
            </w:r>
            <w:r>
              <w:rPr>
                <w:rFonts w:ascii="Arial"/>
                <w:spacing w:val="-1"/>
                <w:sz w:val="30"/>
              </w:rPr>
              <w:t> </w:t>
            </w:r>
            <w:r>
              <w:rPr>
                <w:rFonts w:ascii="Arial"/>
                <w:sz w:val="30"/>
              </w:rPr>
              <w:t>asimilados</w:t>
            </w:r>
          </w:p>
        </w:tc>
        <w:tc>
          <w:tcPr>
            <w:tcW w:w="4684" w:type="dxa"/>
          </w:tcPr>
          <w:p>
            <w:pPr>
              <w:pStyle w:val="TableParagraph"/>
              <w:spacing w:before="86"/>
              <w:ind w:right="1353"/>
              <w:jc w:val="right"/>
              <w:rPr>
                <w:rFonts w:ascii="Arial"/>
                <w:sz w:val="30"/>
              </w:rPr>
            </w:pPr>
            <w:r>
              <w:rPr>
                <w:rFonts w:ascii="Arial"/>
                <w:sz w:val="30"/>
              </w:rPr>
              <w:t>-232.544,62</w:t>
            </w:r>
          </w:p>
        </w:tc>
        <w:tc>
          <w:tcPr>
            <w:tcW w:w="3015" w:type="dxa"/>
          </w:tcPr>
          <w:p>
            <w:pPr>
              <w:pStyle w:val="TableParagraph"/>
              <w:spacing w:before="86"/>
              <w:ind w:right="48"/>
              <w:jc w:val="right"/>
              <w:rPr>
                <w:rFonts w:ascii="Arial"/>
                <w:sz w:val="30"/>
              </w:rPr>
            </w:pPr>
            <w:r>
              <w:rPr>
                <w:rFonts w:ascii="Arial"/>
                <w:sz w:val="30"/>
              </w:rPr>
              <w:t>-236.186,37</w:t>
            </w:r>
          </w:p>
        </w:tc>
      </w:tr>
      <w:tr>
        <w:trPr>
          <w:trHeight w:val="384" w:hRule="atLeast"/>
        </w:trPr>
        <w:tc>
          <w:tcPr>
            <w:tcW w:w="10216" w:type="dxa"/>
          </w:tcPr>
          <w:p>
            <w:pPr>
              <w:pStyle w:val="TableParagraph"/>
              <w:tabs>
                <w:tab w:pos="658" w:val="left" w:leader="none"/>
              </w:tabs>
              <w:spacing w:line="331" w:lineRule="exact" w:before="33"/>
              <w:ind w:left="50"/>
              <w:rPr>
                <w:rFonts w:ascii="Arial"/>
                <w:sz w:val="30"/>
              </w:rPr>
            </w:pPr>
            <w:r>
              <w:rPr>
                <w:rFonts w:ascii="Arial"/>
                <w:color w:val="FEFEFE"/>
                <w:position w:val="-5"/>
                <w:sz w:val="37"/>
              </w:rPr>
              <w:t>.</w:t>
              <w:tab/>
            </w:r>
            <w:r>
              <w:rPr>
                <w:rFonts w:ascii="Arial"/>
                <w:sz w:val="30"/>
              </w:rPr>
              <w:t>b) Cargas sociales</w:t>
            </w:r>
          </w:p>
        </w:tc>
        <w:tc>
          <w:tcPr>
            <w:tcW w:w="4684" w:type="dxa"/>
          </w:tcPr>
          <w:p>
            <w:pPr>
              <w:pStyle w:val="TableParagraph"/>
              <w:spacing w:line="325" w:lineRule="exact" w:before="39"/>
              <w:ind w:right="1356"/>
              <w:jc w:val="right"/>
              <w:rPr>
                <w:rFonts w:ascii="Arial"/>
                <w:sz w:val="30"/>
              </w:rPr>
            </w:pPr>
            <w:r>
              <w:rPr>
                <w:rFonts w:ascii="Arial"/>
                <w:sz w:val="30"/>
              </w:rPr>
              <w:t>-72.343,81</w:t>
            </w:r>
          </w:p>
        </w:tc>
        <w:tc>
          <w:tcPr>
            <w:tcW w:w="3015" w:type="dxa"/>
          </w:tcPr>
          <w:p>
            <w:pPr>
              <w:pStyle w:val="TableParagraph"/>
              <w:spacing w:line="325" w:lineRule="exact" w:before="39"/>
              <w:ind w:right="51"/>
              <w:jc w:val="right"/>
              <w:rPr>
                <w:rFonts w:ascii="Arial"/>
                <w:sz w:val="30"/>
              </w:rPr>
            </w:pPr>
            <w:r>
              <w:rPr>
                <w:rFonts w:ascii="Arial"/>
                <w:sz w:val="30"/>
              </w:rPr>
              <w:t>-70.522,49</w:t>
            </w:r>
          </w:p>
        </w:tc>
      </w:tr>
      <w:tr>
        <w:trPr>
          <w:trHeight w:val="505" w:hRule="atLeast"/>
        </w:trPr>
        <w:tc>
          <w:tcPr>
            <w:tcW w:w="10216" w:type="dxa"/>
          </w:tcPr>
          <w:p>
            <w:pPr>
              <w:pStyle w:val="TableParagraph"/>
              <w:tabs>
                <w:tab w:pos="408" w:val="left" w:leader="none"/>
              </w:tabs>
              <w:spacing w:line="405" w:lineRule="exact" w:before="81"/>
              <w:ind w:left="50"/>
              <w:rPr>
                <w:rFonts w:ascii="Arial"/>
                <w:b/>
                <w:sz w:val="30"/>
              </w:rPr>
            </w:pPr>
            <w:r>
              <w:rPr>
                <w:rFonts w:ascii="Arial"/>
                <w:color w:val="FEFEFE"/>
                <w:position w:val="-5"/>
                <w:sz w:val="37"/>
              </w:rPr>
              <w:t>.</w:t>
              <w:tab/>
            </w:r>
            <w:r>
              <w:rPr>
                <w:rFonts w:ascii="Arial"/>
                <w:b/>
                <w:sz w:val="30"/>
              </w:rPr>
              <w:t>9 Otros gastos de la</w:t>
            </w:r>
            <w:r>
              <w:rPr>
                <w:rFonts w:ascii="Arial"/>
                <w:b/>
                <w:spacing w:val="-4"/>
                <w:sz w:val="30"/>
              </w:rPr>
              <w:t> </w:t>
            </w:r>
            <w:r>
              <w:rPr>
                <w:rFonts w:ascii="Arial"/>
                <w:b/>
                <w:sz w:val="30"/>
              </w:rPr>
              <w:t>actividad</w:t>
            </w:r>
          </w:p>
        </w:tc>
        <w:tc>
          <w:tcPr>
            <w:tcW w:w="4684" w:type="dxa"/>
          </w:tcPr>
          <w:p>
            <w:pPr>
              <w:pStyle w:val="TableParagraph"/>
              <w:spacing w:before="86"/>
              <w:ind w:right="1356"/>
              <w:jc w:val="right"/>
              <w:rPr>
                <w:rFonts w:ascii="Arial"/>
                <w:b/>
                <w:sz w:val="30"/>
              </w:rPr>
            </w:pPr>
            <w:r>
              <w:rPr>
                <w:rFonts w:ascii="Arial"/>
                <w:b/>
                <w:sz w:val="30"/>
              </w:rPr>
              <w:t>-97.357,51</w:t>
            </w:r>
          </w:p>
        </w:tc>
        <w:tc>
          <w:tcPr>
            <w:tcW w:w="3015" w:type="dxa"/>
          </w:tcPr>
          <w:p>
            <w:pPr>
              <w:pStyle w:val="TableParagraph"/>
              <w:spacing w:before="86"/>
              <w:ind w:right="51"/>
              <w:jc w:val="right"/>
              <w:rPr>
                <w:rFonts w:ascii="Arial"/>
                <w:b/>
                <w:sz w:val="30"/>
              </w:rPr>
            </w:pPr>
            <w:r>
              <w:rPr>
                <w:rFonts w:ascii="Arial"/>
                <w:b/>
                <w:sz w:val="30"/>
              </w:rPr>
              <w:t>-80.023,98</w:t>
            </w:r>
          </w:p>
        </w:tc>
      </w:tr>
      <w:tr>
        <w:trPr>
          <w:trHeight w:val="405" w:hRule="atLeast"/>
        </w:trPr>
        <w:tc>
          <w:tcPr>
            <w:tcW w:w="10216" w:type="dxa"/>
          </w:tcPr>
          <w:p>
            <w:pPr>
              <w:pStyle w:val="TableParagraph"/>
              <w:tabs>
                <w:tab w:pos="658" w:val="left" w:leader="none"/>
              </w:tabs>
              <w:spacing w:line="379" w:lineRule="exact" w:before="7"/>
              <w:ind w:left="50"/>
              <w:rPr>
                <w:rFonts w:ascii="Arial"/>
                <w:sz w:val="30"/>
              </w:rPr>
            </w:pPr>
            <w:r>
              <w:rPr>
                <w:rFonts w:ascii="Arial"/>
                <w:color w:val="FEFEFE"/>
                <w:position w:val="-5"/>
                <w:sz w:val="37"/>
              </w:rPr>
              <w:t>.</w:t>
              <w:tab/>
            </w:r>
            <w:r>
              <w:rPr>
                <w:rFonts w:ascii="Arial"/>
                <w:sz w:val="30"/>
              </w:rPr>
              <w:t>a) Servicios</w:t>
            </w:r>
            <w:r>
              <w:rPr>
                <w:rFonts w:ascii="Arial"/>
                <w:spacing w:val="-1"/>
                <w:sz w:val="30"/>
              </w:rPr>
              <w:t> </w:t>
            </w:r>
            <w:r>
              <w:rPr>
                <w:rFonts w:ascii="Arial"/>
                <w:sz w:val="30"/>
              </w:rPr>
              <w:t>exteriores</w:t>
            </w:r>
          </w:p>
        </w:tc>
        <w:tc>
          <w:tcPr>
            <w:tcW w:w="4684" w:type="dxa"/>
          </w:tcPr>
          <w:p>
            <w:pPr>
              <w:pStyle w:val="TableParagraph"/>
              <w:spacing w:before="13"/>
              <w:ind w:right="1356"/>
              <w:jc w:val="right"/>
              <w:rPr>
                <w:rFonts w:ascii="Arial"/>
                <w:sz w:val="30"/>
              </w:rPr>
            </w:pPr>
            <w:r>
              <w:rPr>
                <w:rFonts w:ascii="Arial"/>
                <w:sz w:val="30"/>
              </w:rPr>
              <w:t>-97.298,67</w:t>
            </w:r>
          </w:p>
        </w:tc>
        <w:tc>
          <w:tcPr>
            <w:tcW w:w="3015" w:type="dxa"/>
          </w:tcPr>
          <w:p>
            <w:pPr>
              <w:pStyle w:val="TableParagraph"/>
              <w:spacing w:before="13"/>
              <w:ind w:right="51"/>
              <w:jc w:val="right"/>
              <w:rPr>
                <w:rFonts w:ascii="Arial"/>
                <w:sz w:val="30"/>
              </w:rPr>
            </w:pPr>
            <w:r>
              <w:rPr>
                <w:rFonts w:ascii="Arial"/>
                <w:sz w:val="30"/>
              </w:rPr>
              <w:t>-79.517,71</w:t>
            </w:r>
          </w:p>
        </w:tc>
      </w:tr>
      <w:tr>
        <w:trPr>
          <w:trHeight w:val="431" w:hRule="atLeast"/>
        </w:trPr>
        <w:tc>
          <w:tcPr>
            <w:tcW w:w="10216" w:type="dxa"/>
          </w:tcPr>
          <w:p>
            <w:pPr>
              <w:pStyle w:val="TableParagraph"/>
              <w:tabs>
                <w:tab w:pos="658" w:val="left" w:leader="none"/>
              </w:tabs>
              <w:spacing w:line="379" w:lineRule="exact" w:before="33"/>
              <w:ind w:left="50"/>
              <w:rPr>
                <w:rFonts w:ascii="Arial"/>
                <w:sz w:val="30"/>
              </w:rPr>
            </w:pPr>
            <w:r>
              <w:rPr>
                <w:rFonts w:ascii="Arial"/>
                <w:color w:val="FEFEFE"/>
                <w:position w:val="-5"/>
                <w:sz w:val="37"/>
              </w:rPr>
              <w:t>.</w:t>
              <w:tab/>
            </w:r>
            <w:r>
              <w:rPr>
                <w:rFonts w:ascii="Arial"/>
                <w:sz w:val="30"/>
              </w:rPr>
              <w:t>b)</w:t>
            </w:r>
            <w:r>
              <w:rPr>
                <w:rFonts w:ascii="Arial"/>
                <w:spacing w:val="83"/>
                <w:sz w:val="30"/>
              </w:rPr>
              <w:t> </w:t>
            </w:r>
            <w:r>
              <w:rPr>
                <w:rFonts w:ascii="Arial"/>
                <w:sz w:val="30"/>
              </w:rPr>
              <w:t>Tributos</w:t>
            </w:r>
          </w:p>
        </w:tc>
        <w:tc>
          <w:tcPr>
            <w:tcW w:w="4684" w:type="dxa"/>
          </w:tcPr>
          <w:p>
            <w:pPr>
              <w:pStyle w:val="TableParagraph"/>
              <w:spacing w:before="39"/>
              <w:ind w:right="1366"/>
              <w:jc w:val="right"/>
              <w:rPr>
                <w:rFonts w:ascii="Arial"/>
                <w:sz w:val="30"/>
              </w:rPr>
            </w:pPr>
            <w:r>
              <w:rPr>
                <w:rFonts w:ascii="Arial"/>
                <w:sz w:val="30"/>
              </w:rPr>
              <w:t>-58,84</w:t>
            </w:r>
          </w:p>
        </w:tc>
        <w:tc>
          <w:tcPr>
            <w:tcW w:w="3015" w:type="dxa"/>
          </w:tcPr>
          <w:p>
            <w:pPr>
              <w:pStyle w:val="TableParagraph"/>
              <w:spacing w:before="0"/>
              <w:rPr>
                <w:rFonts w:ascii="Times New Roman"/>
                <w:sz w:val="30"/>
              </w:rPr>
            </w:pPr>
          </w:p>
        </w:tc>
      </w:tr>
      <w:tr>
        <w:trPr>
          <w:trHeight w:val="431" w:hRule="atLeast"/>
        </w:trPr>
        <w:tc>
          <w:tcPr>
            <w:tcW w:w="10216" w:type="dxa"/>
          </w:tcPr>
          <w:p>
            <w:pPr>
              <w:pStyle w:val="TableParagraph"/>
              <w:tabs>
                <w:tab w:pos="658" w:val="left" w:leader="none"/>
              </w:tabs>
              <w:spacing w:line="379" w:lineRule="exact" w:before="33"/>
              <w:ind w:left="50"/>
              <w:rPr>
                <w:rFonts w:ascii="Arial" w:hAnsi="Arial"/>
                <w:sz w:val="30"/>
              </w:rPr>
            </w:pPr>
            <w:r>
              <w:rPr>
                <w:rFonts w:ascii="Arial" w:hAnsi="Arial"/>
                <w:color w:val="FEFEFE"/>
                <w:position w:val="-5"/>
                <w:sz w:val="37"/>
              </w:rPr>
              <w:t>.</w:t>
              <w:tab/>
            </w:r>
            <w:r>
              <w:rPr>
                <w:rFonts w:ascii="Arial" w:hAnsi="Arial"/>
                <w:sz w:val="30"/>
              </w:rPr>
              <w:t>c) Pérd., deterioro, y var.prov.op.comerc.</w:t>
            </w:r>
          </w:p>
        </w:tc>
        <w:tc>
          <w:tcPr>
            <w:tcW w:w="4684" w:type="dxa"/>
          </w:tcPr>
          <w:p>
            <w:pPr>
              <w:pStyle w:val="TableParagraph"/>
              <w:spacing w:before="0"/>
              <w:rPr>
                <w:rFonts w:ascii="Times New Roman"/>
                <w:sz w:val="30"/>
              </w:rPr>
            </w:pPr>
          </w:p>
        </w:tc>
        <w:tc>
          <w:tcPr>
            <w:tcW w:w="3015" w:type="dxa"/>
          </w:tcPr>
          <w:p>
            <w:pPr>
              <w:pStyle w:val="TableParagraph"/>
              <w:spacing w:before="39"/>
              <w:ind w:right="58"/>
              <w:jc w:val="right"/>
              <w:rPr>
                <w:rFonts w:ascii="Arial"/>
                <w:sz w:val="30"/>
              </w:rPr>
            </w:pPr>
            <w:r>
              <w:rPr>
                <w:rFonts w:ascii="Arial"/>
                <w:sz w:val="30"/>
              </w:rPr>
              <w:t>-111,00</w:t>
            </w:r>
          </w:p>
        </w:tc>
      </w:tr>
      <w:tr>
        <w:trPr>
          <w:trHeight w:val="384" w:hRule="atLeast"/>
        </w:trPr>
        <w:tc>
          <w:tcPr>
            <w:tcW w:w="10216" w:type="dxa"/>
          </w:tcPr>
          <w:p>
            <w:pPr>
              <w:pStyle w:val="TableParagraph"/>
              <w:tabs>
                <w:tab w:pos="658" w:val="left" w:leader="none"/>
              </w:tabs>
              <w:spacing w:line="331" w:lineRule="exact" w:before="33"/>
              <w:ind w:left="50"/>
              <w:rPr>
                <w:rFonts w:ascii="Arial" w:hAnsi="Arial"/>
                <w:sz w:val="30"/>
              </w:rPr>
            </w:pPr>
            <w:r>
              <w:rPr>
                <w:rFonts w:ascii="Arial" w:hAnsi="Arial"/>
                <w:color w:val="FEFEFE"/>
                <w:position w:val="-5"/>
                <w:sz w:val="37"/>
              </w:rPr>
              <w:t>.</w:t>
              <w:tab/>
            </w:r>
            <w:r>
              <w:rPr>
                <w:rFonts w:ascii="Arial" w:hAnsi="Arial"/>
                <w:sz w:val="30"/>
              </w:rPr>
              <w:t>d) Otros gastos de gestión corriente</w:t>
            </w:r>
          </w:p>
        </w:tc>
        <w:tc>
          <w:tcPr>
            <w:tcW w:w="4684" w:type="dxa"/>
          </w:tcPr>
          <w:p>
            <w:pPr>
              <w:pStyle w:val="TableParagraph"/>
              <w:spacing w:before="0"/>
              <w:rPr>
                <w:rFonts w:ascii="Times New Roman"/>
                <w:sz w:val="28"/>
              </w:rPr>
            </w:pPr>
          </w:p>
        </w:tc>
        <w:tc>
          <w:tcPr>
            <w:tcW w:w="3015" w:type="dxa"/>
          </w:tcPr>
          <w:p>
            <w:pPr>
              <w:pStyle w:val="TableParagraph"/>
              <w:spacing w:line="325" w:lineRule="exact" w:before="39"/>
              <w:ind w:right="58"/>
              <w:jc w:val="right"/>
              <w:rPr>
                <w:rFonts w:ascii="Arial"/>
                <w:sz w:val="30"/>
              </w:rPr>
            </w:pPr>
            <w:r>
              <w:rPr>
                <w:rFonts w:ascii="Arial"/>
                <w:sz w:val="30"/>
              </w:rPr>
              <w:t>-395,27</w:t>
            </w:r>
          </w:p>
        </w:tc>
      </w:tr>
      <w:tr>
        <w:trPr>
          <w:trHeight w:val="479" w:hRule="atLeast"/>
        </w:trPr>
        <w:tc>
          <w:tcPr>
            <w:tcW w:w="10216" w:type="dxa"/>
          </w:tcPr>
          <w:p>
            <w:pPr>
              <w:pStyle w:val="TableParagraph"/>
              <w:tabs>
                <w:tab w:pos="408" w:val="left" w:leader="none"/>
              </w:tabs>
              <w:spacing w:line="379" w:lineRule="exact" w:before="81"/>
              <w:ind w:left="50"/>
              <w:rPr>
                <w:rFonts w:ascii="Arial" w:hAnsi="Arial"/>
                <w:b/>
                <w:sz w:val="30"/>
              </w:rPr>
            </w:pPr>
            <w:r>
              <w:rPr>
                <w:rFonts w:ascii="Arial" w:hAnsi="Arial"/>
                <w:color w:val="FEFEFE"/>
                <w:position w:val="-5"/>
                <w:sz w:val="37"/>
              </w:rPr>
              <w:t>.</w:t>
              <w:tab/>
            </w:r>
            <w:r>
              <w:rPr>
                <w:rFonts w:ascii="Arial" w:hAnsi="Arial"/>
                <w:b/>
                <w:sz w:val="30"/>
              </w:rPr>
              <w:t>10 Amortización del</w:t>
            </w:r>
            <w:r>
              <w:rPr>
                <w:rFonts w:ascii="Arial" w:hAnsi="Arial"/>
                <w:b/>
                <w:spacing w:val="-1"/>
                <w:sz w:val="30"/>
              </w:rPr>
              <w:t> </w:t>
            </w:r>
            <w:r>
              <w:rPr>
                <w:rFonts w:ascii="Arial" w:hAnsi="Arial"/>
                <w:b/>
                <w:sz w:val="30"/>
              </w:rPr>
              <w:t>inmovilizado</w:t>
            </w:r>
          </w:p>
        </w:tc>
        <w:tc>
          <w:tcPr>
            <w:tcW w:w="4684" w:type="dxa"/>
          </w:tcPr>
          <w:p>
            <w:pPr>
              <w:pStyle w:val="TableParagraph"/>
              <w:spacing w:before="86"/>
              <w:ind w:right="1359"/>
              <w:jc w:val="right"/>
              <w:rPr>
                <w:rFonts w:ascii="Arial"/>
                <w:b/>
                <w:sz w:val="30"/>
              </w:rPr>
            </w:pPr>
            <w:r>
              <w:rPr>
                <w:rFonts w:ascii="Arial"/>
                <w:b/>
                <w:sz w:val="30"/>
              </w:rPr>
              <w:t>-6.116,99</w:t>
            </w:r>
          </w:p>
        </w:tc>
        <w:tc>
          <w:tcPr>
            <w:tcW w:w="3015" w:type="dxa"/>
          </w:tcPr>
          <w:p>
            <w:pPr>
              <w:pStyle w:val="TableParagraph"/>
              <w:spacing w:before="86"/>
              <w:ind w:right="54"/>
              <w:jc w:val="right"/>
              <w:rPr>
                <w:rFonts w:ascii="Arial"/>
                <w:b/>
                <w:sz w:val="30"/>
              </w:rPr>
            </w:pPr>
            <w:r>
              <w:rPr>
                <w:rFonts w:ascii="Arial"/>
                <w:b/>
                <w:sz w:val="30"/>
              </w:rPr>
              <w:t>-5.632,48</w:t>
            </w:r>
          </w:p>
        </w:tc>
      </w:tr>
      <w:tr>
        <w:trPr>
          <w:trHeight w:val="384" w:hRule="atLeast"/>
        </w:trPr>
        <w:tc>
          <w:tcPr>
            <w:tcW w:w="10216" w:type="dxa"/>
          </w:tcPr>
          <w:p>
            <w:pPr>
              <w:pStyle w:val="TableParagraph"/>
              <w:tabs>
                <w:tab w:pos="408" w:val="left" w:leader="none"/>
              </w:tabs>
              <w:spacing w:line="331" w:lineRule="exact" w:before="33"/>
              <w:ind w:left="50"/>
              <w:rPr>
                <w:rFonts w:ascii="Arial"/>
                <w:b/>
                <w:sz w:val="30"/>
              </w:rPr>
            </w:pPr>
            <w:r>
              <w:rPr>
                <w:rFonts w:ascii="Arial"/>
                <w:color w:val="FEFEFE"/>
                <w:position w:val="-5"/>
                <w:sz w:val="37"/>
              </w:rPr>
              <w:t>.</w:t>
              <w:tab/>
            </w:r>
            <w:r>
              <w:rPr>
                <w:rFonts w:ascii="Arial"/>
                <w:b/>
                <w:sz w:val="30"/>
              </w:rPr>
              <w:t>11 Subv.donac. y leg.capital</w:t>
            </w:r>
            <w:r>
              <w:rPr>
                <w:rFonts w:ascii="Arial"/>
                <w:b/>
                <w:spacing w:val="-2"/>
                <w:sz w:val="30"/>
              </w:rPr>
              <w:t> </w:t>
            </w:r>
            <w:r>
              <w:rPr>
                <w:rFonts w:ascii="Arial"/>
                <w:b/>
                <w:sz w:val="30"/>
              </w:rPr>
              <w:t>trasp.exc.cap</w:t>
            </w:r>
          </w:p>
        </w:tc>
        <w:tc>
          <w:tcPr>
            <w:tcW w:w="4684" w:type="dxa"/>
          </w:tcPr>
          <w:p>
            <w:pPr>
              <w:pStyle w:val="TableParagraph"/>
              <w:spacing w:line="325" w:lineRule="exact" w:before="39"/>
              <w:ind w:right="1366"/>
              <w:jc w:val="right"/>
              <w:rPr>
                <w:rFonts w:ascii="Arial"/>
                <w:b/>
                <w:sz w:val="30"/>
              </w:rPr>
            </w:pPr>
            <w:r>
              <w:rPr>
                <w:rFonts w:ascii="Arial"/>
                <w:b/>
                <w:sz w:val="30"/>
              </w:rPr>
              <w:t>541,51</w:t>
            </w:r>
          </w:p>
        </w:tc>
        <w:tc>
          <w:tcPr>
            <w:tcW w:w="3015" w:type="dxa"/>
          </w:tcPr>
          <w:p>
            <w:pPr>
              <w:pStyle w:val="TableParagraph"/>
              <w:spacing w:line="325" w:lineRule="exact" w:before="39"/>
              <w:ind w:right="61"/>
              <w:jc w:val="right"/>
              <w:rPr>
                <w:rFonts w:ascii="Arial"/>
                <w:b/>
                <w:sz w:val="30"/>
              </w:rPr>
            </w:pPr>
            <w:r>
              <w:rPr>
                <w:rFonts w:ascii="Arial"/>
                <w:b/>
                <w:sz w:val="30"/>
              </w:rPr>
              <w:t>541,51</w:t>
            </w:r>
          </w:p>
        </w:tc>
      </w:tr>
      <w:tr>
        <w:trPr>
          <w:trHeight w:val="505" w:hRule="atLeast"/>
        </w:trPr>
        <w:tc>
          <w:tcPr>
            <w:tcW w:w="10216" w:type="dxa"/>
          </w:tcPr>
          <w:p>
            <w:pPr>
              <w:pStyle w:val="TableParagraph"/>
              <w:tabs>
                <w:tab w:pos="658" w:val="left" w:leader="none"/>
              </w:tabs>
              <w:spacing w:line="405" w:lineRule="exact" w:before="81"/>
              <w:ind w:left="50"/>
              <w:rPr>
                <w:rFonts w:ascii="Arial"/>
                <w:sz w:val="30"/>
              </w:rPr>
            </w:pPr>
            <w:r>
              <w:rPr>
                <w:rFonts w:ascii="Arial"/>
                <w:color w:val="FEFEFE"/>
                <w:position w:val="-5"/>
                <w:sz w:val="37"/>
              </w:rPr>
              <w:t>.</w:t>
              <w:tab/>
            </w:r>
            <w:r>
              <w:rPr>
                <w:rFonts w:ascii="Arial"/>
                <w:sz w:val="30"/>
              </w:rPr>
              <w:t>b) Dona.y leg.cap.trasp.al</w:t>
            </w:r>
            <w:r>
              <w:rPr>
                <w:rFonts w:ascii="Arial"/>
                <w:spacing w:val="1"/>
                <w:sz w:val="30"/>
              </w:rPr>
              <w:t> </w:t>
            </w:r>
            <w:r>
              <w:rPr>
                <w:rFonts w:ascii="Arial"/>
                <w:sz w:val="30"/>
              </w:rPr>
              <w:t>exced.ejercicio</w:t>
            </w:r>
          </w:p>
        </w:tc>
        <w:tc>
          <w:tcPr>
            <w:tcW w:w="4684" w:type="dxa"/>
          </w:tcPr>
          <w:p>
            <w:pPr>
              <w:pStyle w:val="TableParagraph"/>
              <w:spacing w:before="86"/>
              <w:ind w:right="1366"/>
              <w:jc w:val="right"/>
              <w:rPr>
                <w:rFonts w:ascii="Arial"/>
                <w:sz w:val="30"/>
              </w:rPr>
            </w:pPr>
            <w:r>
              <w:rPr>
                <w:rFonts w:ascii="Arial"/>
                <w:sz w:val="30"/>
              </w:rPr>
              <w:t>541,51</w:t>
            </w:r>
          </w:p>
        </w:tc>
        <w:tc>
          <w:tcPr>
            <w:tcW w:w="3015" w:type="dxa"/>
          </w:tcPr>
          <w:p>
            <w:pPr>
              <w:pStyle w:val="TableParagraph"/>
              <w:spacing w:before="86"/>
              <w:ind w:right="61"/>
              <w:jc w:val="right"/>
              <w:rPr>
                <w:rFonts w:ascii="Arial"/>
                <w:sz w:val="30"/>
              </w:rPr>
            </w:pPr>
            <w:r>
              <w:rPr>
                <w:rFonts w:ascii="Arial"/>
                <w:sz w:val="30"/>
              </w:rPr>
              <w:t>541,51</w:t>
            </w:r>
          </w:p>
        </w:tc>
      </w:tr>
      <w:tr>
        <w:trPr>
          <w:trHeight w:val="439" w:hRule="atLeast"/>
        </w:trPr>
        <w:tc>
          <w:tcPr>
            <w:tcW w:w="10216" w:type="dxa"/>
          </w:tcPr>
          <w:p>
            <w:pPr>
              <w:pStyle w:val="TableParagraph"/>
              <w:spacing w:line="405" w:lineRule="exact" w:before="0"/>
              <w:ind w:left="50"/>
              <w:rPr>
                <w:rFonts w:ascii="Arial"/>
                <w:b/>
                <w:i/>
                <w:sz w:val="30"/>
              </w:rPr>
            </w:pPr>
            <w:r>
              <w:rPr>
                <w:rFonts w:ascii="Arial"/>
                <w:color w:val="FEFEFE"/>
                <w:position w:val="-5"/>
                <w:sz w:val="37"/>
              </w:rPr>
              <w:t>. </w:t>
            </w:r>
            <w:r>
              <w:rPr>
                <w:rFonts w:ascii="Arial"/>
                <w:b/>
                <w:i/>
                <w:sz w:val="30"/>
              </w:rPr>
              <w:t>A.1 EXCEDENTE DE LA ACTIVIDAD</w:t>
            </w:r>
          </w:p>
        </w:tc>
        <w:tc>
          <w:tcPr>
            <w:tcW w:w="4684" w:type="dxa"/>
          </w:tcPr>
          <w:p>
            <w:pPr>
              <w:pStyle w:val="TableParagraph"/>
              <w:spacing w:line="343" w:lineRule="exact" w:before="0"/>
              <w:ind w:right="1359"/>
              <w:jc w:val="right"/>
              <w:rPr>
                <w:rFonts w:ascii="Arial"/>
                <w:b/>
                <w:i/>
                <w:sz w:val="30"/>
              </w:rPr>
            </w:pPr>
            <w:r>
              <w:rPr>
                <w:rFonts w:ascii="Arial"/>
                <w:b/>
                <w:i/>
                <w:sz w:val="30"/>
              </w:rPr>
              <w:t>25.439,68</w:t>
            </w:r>
          </w:p>
        </w:tc>
        <w:tc>
          <w:tcPr>
            <w:tcW w:w="3015" w:type="dxa"/>
          </w:tcPr>
          <w:p>
            <w:pPr>
              <w:pStyle w:val="TableParagraph"/>
              <w:spacing w:line="343" w:lineRule="exact" w:before="0"/>
              <w:ind w:right="51"/>
              <w:jc w:val="right"/>
              <w:rPr>
                <w:rFonts w:ascii="Arial"/>
                <w:b/>
                <w:i/>
                <w:sz w:val="30"/>
              </w:rPr>
            </w:pPr>
            <w:r>
              <w:rPr>
                <w:rFonts w:ascii="Arial"/>
                <w:b/>
                <w:i/>
                <w:sz w:val="30"/>
              </w:rPr>
              <w:t>-21.313,74</w:t>
            </w:r>
          </w:p>
        </w:tc>
      </w:tr>
      <w:tr>
        <w:trPr>
          <w:trHeight w:val="431" w:hRule="atLeast"/>
        </w:trPr>
        <w:tc>
          <w:tcPr>
            <w:tcW w:w="10216" w:type="dxa"/>
          </w:tcPr>
          <w:p>
            <w:pPr>
              <w:pStyle w:val="TableParagraph"/>
              <w:spacing w:line="412" w:lineRule="exact" w:before="0"/>
              <w:ind w:left="50"/>
              <w:rPr>
                <w:rFonts w:ascii="Arial"/>
                <w:b/>
                <w:i/>
                <w:sz w:val="30"/>
              </w:rPr>
            </w:pPr>
            <w:r>
              <w:rPr>
                <w:rFonts w:ascii="Arial"/>
                <w:color w:val="FEFEFE"/>
                <w:position w:val="-5"/>
                <w:sz w:val="37"/>
              </w:rPr>
              <w:t>. </w:t>
            </w:r>
            <w:r>
              <w:rPr>
                <w:rFonts w:ascii="Arial"/>
                <w:b/>
                <w:i/>
                <w:sz w:val="30"/>
              </w:rPr>
              <w:t>A.3 RESULTADO ANTES DE IMPUESTOS</w:t>
            </w:r>
          </w:p>
        </w:tc>
        <w:tc>
          <w:tcPr>
            <w:tcW w:w="4684" w:type="dxa"/>
          </w:tcPr>
          <w:p>
            <w:pPr>
              <w:pStyle w:val="TableParagraph"/>
              <w:spacing w:before="5"/>
              <w:ind w:right="1359"/>
              <w:jc w:val="right"/>
              <w:rPr>
                <w:rFonts w:ascii="Arial"/>
                <w:b/>
                <w:i/>
                <w:sz w:val="30"/>
              </w:rPr>
            </w:pPr>
            <w:r>
              <w:rPr>
                <w:rFonts w:ascii="Arial"/>
                <w:b/>
                <w:i/>
                <w:sz w:val="30"/>
              </w:rPr>
              <w:t>25.439,68</w:t>
            </w:r>
          </w:p>
        </w:tc>
        <w:tc>
          <w:tcPr>
            <w:tcW w:w="3015" w:type="dxa"/>
          </w:tcPr>
          <w:p>
            <w:pPr>
              <w:pStyle w:val="TableParagraph"/>
              <w:spacing w:before="5"/>
              <w:ind w:right="51"/>
              <w:jc w:val="right"/>
              <w:rPr>
                <w:rFonts w:ascii="Arial"/>
                <w:b/>
                <w:i/>
                <w:sz w:val="30"/>
              </w:rPr>
            </w:pPr>
            <w:r>
              <w:rPr>
                <w:rFonts w:ascii="Arial"/>
                <w:b/>
                <w:i/>
                <w:sz w:val="30"/>
              </w:rPr>
              <w:t>-21.313,74</w:t>
            </w:r>
          </w:p>
        </w:tc>
      </w:tr>
      <w:tr>
        <w:trPr>
          <w:trHeight w:val="431" w:hRule="atLeast"/>
        </w:trPr>
        <w:tc>
          <w:tcPr>
            <w:tcW w:w="10216" w:type="dxa"/>
          </w:tcPr>
          <w:p>
            <w:pPr>
              <w:pStyle w:val="TableParagraph"/>
              <w:spacing w:line="412" w:lineRule="exact" w:before="0"/>
              <w:ind w:left="50"/>
              <w:rPr>
                <w:rFonts w:ascii="Arial"/>
                <w:b/>
                <w:i/>
                <w:sz w:val="30"/>
              </w:rPr>
            </w:pPr>
            <w:r>
              <w:rPr>
                <w:rFonts w:ascii="Arial"/>
                <w:color w:val="FEFEFE"/>
                <w:position w:val="-5"/>
                <w:sz w:val="37"/>
              </w:rPr>
              <w:t>. </w:t>
            </w:r>
            <w:r>
              <w:rPr>
                <w:rFonts w:ascii="Arial"/>
                <w:b/>
                <w:i/>
                <w:sz w:val="30"/>
              </w:rPr>
              <w:t>A.4 EXCEDENTE EJERC.PROCED.DE OP.CONTINUADAS</w:t>
            </w:r>
          </w:p>
        </w:tc>
        <w:tc>
          <w:tcPr>
            <w:tcW w:w="4684" w:type="dxa"/>
          </w:tcPr>
          <w:p>
            <w:pPr>
              <w:pStyle w:val="TableParagraph"/>
              <w:spacing w:before="5"/>
              <w:ind w:right="1359"/>
              <w:jc w:val="right"/>
              <w:rPr>
                <w:rFonts w:ascii="Arial"/>
                <w:b/>
                <w:i/>
                <w:sz w:val="30"/>
              </w:rPr>
            </w:pPr>
            <w:r>
              <w:rPr>
                <w:rFonts w:ascii="Arial"/>
                <w:b/>
                <w:i/>
                <w:sz w:val="30"/>
              </w:rPr>
              <w:t>25.439,68</w:t>
            </w:r>
          </w:p>
        </w:tc>
        <w:tc>
          <w:tcPr>
            <w:tcW w:w="3015" w:type="dxa"/>
          </w:tcPr>
          <w:p>
            <w:pPr>
              <w:pStyle w:val="TableParagraph"/>
              <w:spacing w:before="5"/>
              <w:ind w:right="51"/>
              <w:jc w:val="right"/>
              <w:rPr>
                <w:rFonts w:ascii="Arial"/>
                <w:b/>
                <w:i/>
                <w:sz w:val="30"/>
              </w:rPr>
            </w:pPr>
            <w:r>
              <w:rPr>
                <w:rFonts w:ascii="Arial"/>
                <w:b/>
                <w:i/>
                <w:sz w:val="30"/>
              </w:rPr>
              <w:t>-21.313,74</w:t>
            </w:r>
          </w:p>
        </w:tc>
      </w:tr>
      <w:tr>
        <w:trPr>
          <w:trHeight w:val="424" w:hRule="atLeast"/>
        </w:trPr>
        <w:tc>
          <w:tcPr>
            <w:tcW w:w="10216" w:type="dxa"/>
          </w:tcPr>
          <w:p>
            <w:pPr>
              <w:pStyle w:val="TableParagraph"/>
              <w:spacing w:line="405" w:lineRule="exact" w:before="0"/>
              <w:ind w:left="50"/>
              <w:rPr>
                <w:rFonts w:ascii="Arial"/>
                <w:b/>
                <w:i/>
                <w:sz w:val="30"/>
              </w:rPr>
            </w:pPr>
            <w:r>
              <w:rPr>
                <w:rFonts w:ascii="Arial"/>
                <w:color w:val="FEFEFE"/>
                <w:position w:val="-5"/>
                <w:sz w:val="37"/>
              </w:rPr>
              <w:t>. </w:t>
            </w:r>
            <w:r>
              <w:rPr>
                <w:rFonts w:ascii="Arial"/>
                <w:b/>
                <w:i/>
                <w:sz w:val="30"/>
              </w:rPr>
              <w:t>A.5 VAR. PATRIM.NETO RECONOCIDA EXC.EJERC.</w:t>
            </w:r>
          </w:p>
        </w:tc>
        <w:tc>
          <w:tcPr>
            <w:tcW w:w="4684" w:type="dxa"/>
          </w:tcPr>
          <w:p>
            <w:pPr>
              <w:pStyle w:val="TableParagraph"/>
              <w:spacing w:before="5"/>
              <w:ind w:right="1359"/>
              <w:jc w:val="right"/>
              <w:rPr>
                <w:rFonts w:ascii="Arial"/>
                <w:b/>
                <w:i/>
                <w:sz w:val="30"/>
              </w:rPr>
            </w:pPr>
            <w:r>
              <w:rPr>
                <w:rFonts w:ascii="Arial"/>
                <w:b/>
                <w:i/>
                <w:sz w:val="30"/>
              </w:rPr>
              <w:t>25.439,68</w:t>
            </w:r>
          </w:p>
        </w:tc>
        <w:tc>
          <w:tcPr>
            <w:tcW w:w="3015" w:type="dxa"/>
          </w:tcPr>
          <w:p>
            <w:pPr>
              <w:pStyle w:val="TableParagraph"/>
              <w:spacing w:before="5"/>
              <w:ind w:right="51"/>
              <w:jc w:val="right"/>
              <w:rPr>
                <w:rFonts w:ascii="Arial"/>
                <w:b/>
                <w:i/>
                <w:sz w:val="30"/>
              </w:rPr>
            </w:pPr>
            <w:r>
              <w:rPr>
                <w:rFonts w:ascii="Arial"/>
                <w:b/>
                <w:i/>
                <w:sz w:val="30"/>
              </w:rPr>
              <w:t>-21.313,74</w:t>
            </w:r>
          </w:p>
        </w:tc>
      </w:tr>
      <w:tr>
        <w:trPr>
          <w:trHeight w:val="431" w:hRule="atLeast"/>
        </w:trPr>
        <w:tc>
          <w:tcPr>
            <w:tcW w:w="10216" w:type="dxa"/>
          </w:tcPr>
          <w:p>
            <w:pPr>
              <w:pStyle w:val="TableParagraph"/>
              <w:spacing w:line="405" w:lineRule="exact" w:before="7"/>
              <w:ind w:left="50"/>
              <w:rPr>
                <w:rFonts w:ascii="Arial"/>
                <w:b/>
                <w:sz w:val="30"/>
              </w:rPr>
            </w:pPr>
            <w:r>
              <w:rPr>
                <w:rFonts w:ascii="Arial"/>
                <w:color w:val="FEFEFE"/>
                <w:position w:val="-5"/>
                <w:sz w:val="37"/>
              </w:rPr>
              <w:t>. </w:t>
            </w:r>
            <w:r>
              <w:rPr>
                <w:rFonts w:ascii="Arial"/>
                <w:b/>
                <w:sz w:val="30"/>
              </w:rPr>
              <w:t>J) RESULT. TOTAL, VAR.PAT.NETO EN EL EJERCI</w:t>
            </w:r>
          </w:p>
        </w:tc>
        <w:tc>
          <w:tcPr>
            <w:tcW w:w="4684" w:type="dxa"/>
          </w:tcPr>
          <w:p>
            <w:pPr>
              <w:pStyle w:val="TableParagraph"/>
              <w:spacing w:before="13"/>
              <w:ind w:right="1359"/>
              <w:jc w:val="right"/>
              <w:rPr>
                <w:rFonts w:ascii="Arial"/>
                <w:b/>
                <w:sz w:val="30"/>
              </w:rPr>
            </w:pPr>
            <w:r>
              <w:rPr>
                <w:rFonts w:ascii="Arial"/>
                <w:b/>
                <w:sz w:val="30"/>
              </w:rPr>
              <w:t>25.439,68</w:t>
            </w:r>
          </w:p>
        </w:tc>
        <w:tc>
          <w:tcPr>
            <w:tcW w:w="3015" w:type="dxa"/>
          </w:tcPr>
          <w:p>
            <w:pPr>
              <w:pStyle w:val="TableParagraph"/>
              <w:spacing w:before="13"/>
              <w:ind w:right="51"/>
              <w:jc w:val="right"/>
              <w:rPr>
                <w:rFonts w:ascii="Arial"/>
                <w:b/>
                <w:sz w:val="30"/>
              </w:rPr>
            </w:pPr>
            <w:r>
              <w:rPr>
                <w:rFonts w:ascii="Arial"/>
                <w:b/>
                <w:sz w:val="30"/>
              </w:rPr>
              <w:t>-21.313,74</w:t>
            </w:r>
          </w:p>
        </w:tc>
      </w:tr>
    </w:tbl>
    <w:p>
      <w:pPr>
        <w:rPr>
          <w:sz w:val="2"/>
          <w:szCs w:val="2"/>
        </w:rPr>
      </w:pPr>
      <w:r>
        <w:rPr/>
        <w:pict>
          <v:group style="position:absolute;margin-left:77.726143pt;margin-top:20.859781pt;width:955.6pt;height:91.65pt;mso-position-horizontal-relative:page;mso-position-vertical-relative:page;z-index:251665408" coordorigin="1555,417" coordsize="19112,1833">
            <v:rect style="position:absolute;left:1555;top:417;width:19111;height:1832" filled="false" stroked="true" strokeweight=".053998pt" strokecolor="#000000">
              <v:stroke dashstyle="solid"/>
            </v:rect>
            <v:shape style="position:absolute;left:20387;top:1577;width:188;height:337" type="#_x0000_t202" filled="false" stroked="false">
              <v:textbox inset="0,0,0,0">
                <w:txbxContent>
                  <w:p>
                    <w:pPr>
                      <w:spacing w:line="337" w:lineRule="exact" w:before="0"/>
                      <w:ind w:left="0" w:right="0" w:firstLine="0"/>
                      <w:jc w:val="left"/>
                      <w:rPr>
                        <w:rFonts w:ascii="Arial"/>
                        <w:sz w:val="30"/>
                      </w:rPr>
                    </w:pPr>
                    <w:r>
                      <w:rPr>
                        <w:rFonts w:ascii="Arial"/>
                        <w:w w:val="100"/>
                        <w:sz w:val="30"/>
                      </w:rPr>
                      <w:t>1</w:t>
                    </w:r>
                  </w:p>
                </w:txbxContent>
              </v:textbox>
              <w10:wrap type="none"/>
            </v:shape>
            <v:shape style="position:absolute;left:19158;top:1577;width:639;height:337" type="#_x0000_t202" filled="false" stroked="false">
              <v:textbox inset="0,0,0,0">
                <w:txbxContent>
                  <w:p>
                    <w:pPr>
                      <w:spacing w:line="337" w:lineRule="exact" w:before="0"/>
                      <w:ind w:left="0" w:right="0" w:firstLine="0"/>
                      <w:jc w:val="left"/>
                      <w:rPr>
                        <w:rFonts w:ascii="Arial" w:hAnsi="Arial"/>
                        <w:sz w:val="30"/>
                      </w:rPr>
                    </w:pPr>
                    <w:r>
                      <w:rPr>
                        <w:rFonts w:ascii="Arial" w:hAnsi="Arial"/>
                        <w:sz w:val="30"/>
                      </w:rPr>
                      <w:t>Pág.</w:t>
                    </w:r>
                  </w:p>
                </w:txbxContent>
              </v:textbox>
              <w10:wrap type="none"/>
            </v:shape>
            <v:shape style="position:absolute;left:10950;top:1681;width:4103;height:378" type="#_x0000_t202" filled="false" stroked="false">
              <v:textbox inset="0,0,0,0">
                <w:txbxContent>
                  <w:p>
                    <w:pPr>
                      <w:spacing w:line="375" w:lineRule="exact" w:before="0"/>
                      <w:ind w:left="0" w:right="0" w:firstLine="0"/>
                      <w:jc w:val="left"/>
                      <w:rPr>
                        <w:rFonts w:ascii="Arial"/>
                        <w:sz w:val="33"/>
                      </w:rPr>
                    </w:pPr>
                    <w:r>
                      <w:rPr>
                        <w:rFonts w:ascii="Arial"/>
                        <w:sz w:val="33"/>
                      </w:rPr>
                      <w:t>Periodo :</w:t>
                    </w:r>
                    <w:r>
                      <w:rPr>
                        <w:rFonts w:ascii="Arial"/>
                        <w:spacing w:val="55"/>
                        <w:sz w:val="33"/>
                      </w:rPr>
                      <w:t> </w:t>
                    </w:r>
                    <w:r>
                      <w:rPr>
                        <w:rFonts w:ascii="Arial"/>
                        <w:sz w:val="33"/>
                      </w:rPr>
                      <w:t>01-2024/12-2024</w:t>
                    </w:r>
                  </w:p>
                </w:txbxContent>
              </v:textbox>
              <w10:wrap type="none"/>
            </v:shape>
            <v:shape style="position:absolute;left:1663;top:1681;width:5010;height:378" type="#_x0000_t202" filled="false" stroked="false">
              <v:textbox inset="0,0,0,0">
                <w:txbxContent>
                  <w:p>
                    <w:pPr>
                      <w:tabs>
                        <w:tab w:pos="1811" w:val="left" w:leader="none"/>
                        <w:tab w:pos="4319" w:val="left" w:leader="none"/>
                      </w:tabs>
                      <w:spacing w:line="375" w:lineRule="exact" w:before="0"/>
                      <w:ind w:left="0" w:right="0" w:firstLine="0"/>
                      <w:jc w:val="left"/>
                      <w:rPr>
                        <w:rFonts w:ascii="Arial"/>
                        <w:sz w:val="30"/>
                      </w:rPr>
                    </w:pPr>
                    <w:r>
                      <w:rPr>
                        <w:rFonts w:ascii="Arial"/>
                        <w:sz w:val="33"/>
                      </w:rPr>
                      <w:t>Ejercicio</w:t>
                    </w:r>
                    <w:r>
                      <w:rPr>
                        <w:rFonts w:ascii="Arial"/>
                        <w:spacing w:val="8"/>
                        <w:sz w:val="33"/>
                      </w:rPr>
                      <w:t> </w:t>
                    </w:r>
                    <w:r>
                      <w:rPr>
                        <w:rFonts w:ascii="Arial"/>
                        <w:sz w:val="33"/>
                      </w:rPr>
                      <w:t>:</w:t>
                      <w:tab/>
                    </w:r>
                    <w:r>
                      <w:rPr>
                        <w:rFonts w:ascii="Arial"/>
                        <w:position w:val="3"/>
                        <w:sz w:val="30"/>
                      </w:rPr>
                      <w:t>2024</w:t>
                      <w:tab/>
                      <w:t>(Eur)</w:t>
                    </w:r>
                  </w:p>
                </w:txbxContent>
              </v:textbox>
              <w10:wrap type="none"/>
            </v:shape>
            <v:shape style="position:absolute;left:17754;top:601;width:2789;height:378" type="#_x0000_t202" filled="false" stroked="false">
              <v:textbox inset="0,0,0,0">
                <w:txbxContent>
                  <w:p>
                    <w:pPr>
                      <w:spacing w:line="375" w:lineRule="exact" w:before="0"/>
                      <w:ind w:left="0" w:right="0" w:firstLine="0"/>
                      <w:jc w:val="left"/>
                      <w:rPr>
                        <w:rFonts w:ascii="Arial"/>
                        <w:sz w:val="33"/>
                      </w:rPr>
                    </w:pPr>
                    <w:r>
                      <w:rPr>
                        <w:rFonts w:ascii="Arial"/>
                        <w:position w:val="3"/>
                        <w:sz w:val="30"/>
                      </w:rPr>
                      <w:t>Fecha : </w:t>
                    </w:r>
                    <w:r>
                      <w:rPr>
                        <w:rFonts w:ascii="Arial"/>
                        <w:sz w:val="33"/>
                      </w:rPr>
                      <w:t>24/02/2025</w:t>
                    </w:r>
                  </w:p>
                </w:txbxContent>
              </v:textbox>
              <w10:wrap type="none"/>
            </v:shape>
            <v:shape style="position:absolute;left:2959;top:601;width:12169;height:928" type="#_x0000_t202" filled="false" stroked="false">
              <v:textbox inset="0,0,0,0">
                <w:txbxContent>
                  <w:p>
                    <w:pPr>
                      <w:spacing w:line="375" w:lineRule="exact" w:before="0"/>
                      <w:ind w:left="0" w:right="0" w:firstLine="0"/>
                      <w:jc w:val="left"/>
                      <w:rPr>
                        <w:rFonts w:ascii="Arial"/>
                        <w:b/>
                        <w:sz w:val="33"/>
                      </w:rPr>
                    </w:pPr>
                    <w:r>
                      <w:rPr>
                        <w:rFonts w:ascii="Arial"/>
                        <w:b/>
                        <w:position w:val="3"/>
                        <w:sz w:val="30"/>
                      </w:rPr>
                      <w:t>) </w:t>
                    </w:r>
                    <w:r>
                      <w:rPr>
                        <w:rFonts w:ascii="Arial"/>
                        <w:b/>
                        <w:sz w:val="33"/>
                      </w:rPr>
                      <w:t>FUNDACION CANARIA PARA LA PR</w:t>
                    </w:r>
                  </w:p>
                  <w:p>
                    <w:pPr>
                      <w:spacing w:before="34"/>
                      <w:ind w:left="3671" w:right="0" w:firstLine="0"/>
                      <w:jc w:val="left"/>
                      <w:rPr>
                        <w:rFonts w:ascii="Arial" w:hAnsi="Arial"/>
                        <w:sz w:val="45"/>
                      </w:rPr>
                    </w:pPr>
                    <w:r>
                      <w:rPr>
                        <w:rFonts w:ascii="Arial" w:hAnsi="Arial"/>
                        <w:sz w:val="45"/>
                      </w:rPr>
                      <w:t>Cuenta de Pérdidas y Ganancias Normal</w:t>
                    </w:r>
                  </w:p>
                </w:txbxContent>
              </v:textbox>
              <w10:wrap type="none"/>
            </v:shape>
            <v:shape style="position:absolute;left:1663;top:605;width:1075;height:337" type="#_x0000_t202" filled="false" stroked="false">
              <v:textbox inset="0,0,0,0">
                <w:txbxContent>
                  <w:p>
                    <w:pPr>
                      <w:spacing w:line="337" w:lineRule="exact" w:before="0"/>
                      <w:ind w:left="0" w:right="0" w:firstLine="0"/>
                      <w:jc w:val="left"/>
                      <w:rPr>
                        <w:rFonts w:ascii="Arial"/>
                        <w:b/>
                        <w:sz w:val="30"/>
                      </w:rPr>
                    </w:pPr>
                    <w:r>
                      <w:rPr>
                        <w:rFonts w:ascii="Arial"/>
                        <w:b/>
                        <w:sz w:val="30"/>
                      </w:rPr>
                      <w:t>( 00459</w:t>
                    </w:r>
                  </w:p>
                </w:txbxContent>
              </v:textbox>
              <w10:wrap type="none"/>
            </v:shape>
            <w10:wrap type="none"/>
          </v:group>
        </w:pict>
      </w:r>
      <w:r>
        <w:rPr/>
        <w:pict>
          <v:line style="position:absolute;mso-position-horizontal-relative:page;mso-position-vertical-relative:page;z-index:251666432" from="77.753143pt,172.080673pt" to="1033.515406pt,172.080673pt" stroked="true" strokeweight=".053998pt" strokecolor="#000000">
            <v:stroke dashstyle="solid"/>
            <w10:wrap type="none"/>
          </v:line>
        </w:pict>
      </w:r>
    </w:p>
    <w:p>
      <w:pPr>
        <w:spacing w:after="0"/>
        <w:rPr>
          <w:sz w:val="2"/>
          <w:szCs w:val="2"/>
        </w:rPr>
        <w:sectPr>
          <w:type w:val="continuous"/>
          <w:pgSz w:w="22420" w:h="31660"/>
          <w:pgMar w:top="420" w:bottom="280" w:left="1180" w:right="310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25"/>
        </w:rPr>
      </w:pPr>
    </w:p>
    <w:p>
      <w:pPr>
        <w:spacing w:after="0"/>
        <w:rPr>
          <w:rFonts w:ascii="Arial"/>
          <w:sz w:val="25"/>
        </w:rPr>
        <w:sectPr>
          <w:pgSz w:w="22420" w:h="31660"/>
          <w:pgMar w:top="420" w:bottom="280" w:left="1180" w:right="3100"/>
        </w:sectPr>
      </w:pPr>
    </w:p>
    <w:p>
      <w:pPr>
        <w:pStyle w:val="BodyText"/>
        <w:rPr>
          <w:rFonts w:ascii="Arial"/>
          <w:sz w:val="42"/>
        </w:rPr>
      </w:pPr>
    </w:p>
    <w:p>
      <w:pPr>
        <w:pStyle w:val="BodyText"/>
        <w:rPr>
          <w:rFonts w:ascii="Arial"/>
          <w:sz w:val="50"/>
        </w:rPr>
      </w:pPr>
    </w:p>
    <w:p>
      <w:pPr>
        <w:spacing w:before="1"/>
        <w:ind w:left="159" w:right="0" w:firstLine="0"/>
        <w:jc w:val="left"/>
        <w:rPr>
          <w:rFonts w:ascii="Arial"/>
          <w:b/>
          <w:i/>
          <w:sz w:val="30"/>
        </w:rPr>
      </w:pPr>
      <w:r>
        <w:rPr>
          <w:rFonts w:ascii="Arial"/>
          <w:color w:val="FEFEFE"/>
          <w:position w:val="-5"/>
          <w:sz w:val="37"/>
        </w:rPr>
        <w:t>. </w:t>
      </w:r>
      <w:r>
        <w:rPr>
          <w:rFonts w:ascii="Arial"/>
          <w:b/>
          <w:i/>
          <w:sz w:val="30"/>
        </w:rPr>
        <w:t>A === A C T I V O</w:t>
      </w:r>
      <w:r>
        <w:rPr>
          <w:rFonts w:ascii="Arial"/>
          <w:b/>
          <w:i/>
          <w:spacing w:val="67"/>
          <w:sz w:val="30"/>
        </w:rPr>
        <w:t> </w:t>
      </w:r>
      <w:r>
        <w:rPr>
          <w:rFonts w:ascii="Arial"/>
          <w:b/>
          <w:i/>
          <w:sz w:val="30"/>
        </w:rPr>
        <w:t>======================</w:t>
      </w:r>
    </w:p>
    <w:p>
      <w:pPr>
        <w:spacing w:line="281" w:lineRule="exact" w:before="92"/>
        <w:ind w:left="159" w:right="0" w:firstLine="0"/>
        <w:jc w:val="left"/>
        <w:rPr>
          <w:rFonts w:ascii="Arial"/>
          <w:sz w:val="30"/>
        </w:rPr>
      </w:pPr>
      <w:r>
        <w:rPr/>
        <w:br w:type="column"/>
      </w:r>
      <w:r>
        <w:rPr>
          <w:rFonts w:ascii="Arial"/>
          <w:sz w:val="30"/>
        </w:rPr>
        <w:t>Notas de la</w:t>
      </w:r>
    </w:p>
    <w:p>
      <w:pPr>
        <w:tabs>
          <w:tab w:pos="3388" w:val="left" w:leader="none"/>
          <w:tab w:pos="8459" w:val="right" w:leader="none"/>
        </w:tabs>
        <w:spacing w:line="189" w:lineRule="auto" w:before="0"/>
        <w:ind w:left="375" w:right="0" w:firstLine="0"/>
        <w:jc w:val="left"/>
        <w:rPr>
          <w:rFonts w:ascii="Arial"/>
          <w:b/>
          <w:sz w:val="33"/>
        </w:rPr>
      </w:pPr>
      <w:r>
        <w:rPr>
          <w:rFonts w:ascii="Arial"/>
          <w:position w:val="-7"/>
          <w:sz w:val="30"/>
        </w:rPr>
        <w:t>Memoria</w:t>
        <w:tab/>
      </w:r>
      <w:r>
        <w:rPr>
          <w:rFonts w:ascii="Arial"/>
          <w:b/>
          <w:sz w:val="33"/>
        </w:rPr>
        <w:t>2024</w:t>
        <w:tab/>
        <w:t>2023</w:t>
      </w:r>
    </w:p>
    <w:p>
      <w:pPr>
        <w:tabs>
          <w:tab w:pos="7821" w:val="left" w:leader="none"/>
        </w:tabs>
        <w:spacing w:before="318"/>
        <w:ind w:left="3502" w:right="0" w:firstLine="0"/>
        <w:jc w:val="left"/>
        <w:rPr>
          <w:rFonts w:ascii="Arial"/>
          <w:b/>
          <w:i/>
          <w:sz w:val="30"/>
        </w:rPr>
      </w:pPr>
      <w:r>
        <w:rPr>
          <w:rFonts w:ascii="Arial"/>
          <w:b/>
          <w:i/>
          <w:sz w:val="30"/>
        </w:rPr>
        <w:t>256.832,50</w:t>
        <w:tab/>
        <w:t>213.385,95</w:t>
      </w:r>
    </w:p>
    <w:p>
      <w:pPr>
        <w:spacing w:after="0"/>
        <w:jc w:val="left"/>
        <w:rPr>
          <w:rFonts w:ascii="Arial"/>
          <w:sz w:val="30"/>
        </w:rPr>
        <w:sectPr>
          <w:type w:val="continuous"/>
          <w:pgSz w:w="22420" w:h="31660"/>
          <w:pgMar w:top="420" w:bottom="280" w:left="1180" w:right="3100"/>
          <w:cols w:num="2" w:equalWidth="0">
            <w:col w:w="6974" w:space="1666"/>
            <w:col w:w="9500"/>
          </w:cols>
        </w:sectPr>
      </w:pPr>
    </w:p>
    <w:p>
      <w:pPr>
        <w:tabs>
          <w:tab w:pos="517" w:val="left" w:leader="none"/>
        </w:tabs>
        <w:spacing w:before="6"/>
        <w:ind w:left="159" w:right="0" w:firstLine="0"/>
        <w:jc w:val="left"/>
        <w:rPr>
          <w:rFonts w:ascii="Arial"/>
          <w:b/>
          <w:sz w:val="30"/>
        </w:rPr>
      </w:pPr>
      <w:r>
        <w:rPr/>
        <w:pict>
          <v:group style="position:absolute;margin-left:77.726143pt;margin-top:20.859781pt;width:955.6pt;height:91.65pt;mso-position-horizontal-relative:page;mso-position-vertical-relative:page;z-index:251675648" coordorigin="1555,417" coordsize="19112,1833">
            <v:rect style="position:absolute;left:1555;top:417;width:19111;height:1832" filled="false" stroked="true" strokeweight=".053998pt" strokecolor="#000000">
              <v:stroke dashstyle="solid"/>
            </v:rect>
            <v:shape style="position:absolute;left:20387;top:1577;width:188;height:337" type="#_x0000_t202" filled="false" stroked="false">
              <v:textbox inset="0,0,0,0">
                <w:txbxContent>
                  <w:p>
                    <w:pPr>
                      <w:spacing w:line="337" w:lineRule="exact" w:before="0"/>
                      <w:ind w:left="0" w:right="0" w:firstLine="0"/>
                      <w:jc w:val="left"/>
                      <w:rPr>
                        <w:rFonts w:ascii="Arial"/>
                        <w:sz w:val="30"/>
                      </w:rPr>
                    </w:pPr>
                    <w:r>
                      <w:rPr>
                        <w:rFonts w:ascii="Arial"/>
                        <w:w w:val="100"/>
                        <w:sz w:val="30"/>
                      </w:rPr>
                      <w:t>1</w:t>
                    </w:r>
                  </w:p>
                </w:txbxContent>
              </v:textbox>
              <w10:wrap type="none"/>
            </v:shape>
            <v:shape style="position:absolute;left:19158;top:1577;width:639;height:337" type="#_x0000_t202" filled="false" stroked="false">
              <v:textbox inset="0,0,0,0">
                <w:txbxContent>
                  <w:p>
                    <w:pPr>
                      <w:spacing w:line="337" w:lineRule="exact" w:before="0"/>
                      <w:ind w:left="0" w:right="0" w:firstLine="0"/>
                      <w:jc w:val="left"/>
                      <w:rPr>
                        <w:rFonts w:ascii="Arial" w:hAnsi="Arial"/>
                        <w:sz w:val="30"/>
                      </w:rPr>
                    </w:pPr>
                    <w:r>
                      <w:rPr>
                        <w:rFonts w:ascii="Arial" w:hAnsi="Arial"/>
                        <w:sz w:val="30"/>
                      </w:rPr>
                      <w:t>Pág.</w:t>
                    </w:r>
                  </w:p>
                </w:txbxContent>
              </v:textbox>
              <w10:wrap type="none"/>
            </v:shape>
            <v:shape style="position:absolute;left:10950;top:1681;width:4103;height:378" type="#_x0000_t202" filled="false" stroked="false">
              <v:textbox inset="0,0,0,0">
                <w:txbxContent>
                  <w:p>
                    <w:pPr>
                      <w:spacing w:line="375" w:lineRule="exact" w:before="0"/>
                      <w:ind w:left="0" w:right="0" w:firstLine="0"/>
                      <w:jc w:val="left"/>
                      <w:rPr>
                        <w:rFonts w:ascii="Arial"/>
                        <w:sz w:val="33"/>
                      </w:rPr>
                    </w:pPr>
                    <w:r>
                      <w:rPr>
                        <w:rFonts w:ascii="Arial"/>
                        <w:sz w:val="33"/>
                      </w:rPr>
                      <w:t>Periodo :</w:t>
                    </w:r>
                    <w:r>
                      <w:rPr>
                        <w:rFonts w:ascii="Arial"/>
                        <w:spacing w:val="55"/>
                        <w:sz w:val="33"/>
                      </w:rPr>
                      <w:t> </w:t>
                    </w:r>
                    <w:r>
                      <w:rPr>
                        <w:rFonts w:ascii="Arial"/>
                        <w:sz w:val="33"/>
                      </w:rPr>
                      <w:t>01-2024/12-2024</w:t>
                    </w:r>
                  </w:p>
                </w:txbxContent>
              </v:textbox>
              <w10:wrap type="none"/>
            </v:shape>
            <v:shape style="position:absolute;left:1663;top:1681;width:5010;height:378" type="#_x0000_t202" filled="false" stroked="false">
              <v:textbox inset="0,0,0,0">
                <w:txbxContent>
                  <w:p>
                    <w:pPr>
                      <w:tabs>
                        <w:tab w:pos="1811" w:val="left" w:leader="none"/>
                        <w:tab w:pos="4319" w:val="left" w:leader="none"/>
                      </w:tabs>
                      <w:spacing w:line="375" w:lineRule="exact" w:before="0"/>
                      <w:ind w:left="0" w:right="0" w:firstLine="0"/>
                      <w:jc w:val="left"/>
                      <w:rPr>
                        <w:rFonts w:ascii="Arial"/>
                        <w:sz w:val="30"/>
                      </w:rPr>
                    </w:pPr>
                    <w:r>
                      <w:rPr>
                        <w:rFonts w:ascii="Arial"/>
                        <w:sz w:val="33"/>
                      </w:rPr>
                      <w:t>Ejercicio</w:t>
                    </w:r>
                    <w:r>
                      <w:rPr>
                        <w:rFonts w:ascii="Arial"/>
                        <w:spacing w:val="8"/>
                        <w:sz w:val="33"/>
                      </w:rPr>
                      <w:t> </w:t>
                    </w:r>
                    <w:r>
                      <w:rPr>
                        <w:rFonts w:ascii="Arial"/>
                        <w:sz w:val="33"/>
                      </w:rPr>
                      <w:t>:</w:t>
                      <w:tab/>
                    </w:r>
                    <w:r>
                      <w:rPr>
                        <w:rFonts w:ascii="Arial"/>
                        <w:position w:val="3"/>
                        <w:sz w:val="30"/>
                      </w:rPr>
                      <w:t>2024</w:t>
                      <w:tab/>
                      <w:t>(Eur)</w:t>
                    </w:r>
                  </w:p>
                </w:txbxContent>
              </v:textbox>
              <w10:wrap type="none"/>
            </v:shape>
            <v:shape style="position:absolute;left:17754;top:601;width:2789;height:378" type="#_x0000_t202" filled="false" stroked="false">
              <v:textbox inset="0,0,0,0">
                <w:txbxContent>
                  <w:p>
                    <w:pPr>
                      <w:spacing w:line="375" w:lineRule="exact" w:before="0"/>
                      <w:ind w:left="0" w:right="0" w:firstLine="0"/>
                      <w:jc w:val="left"/>
                      <w:rPr>
                        <w:rFonts w:ascii="Arial"/>
                        <w:sz w:val="33"/>
                      </w:rPr>
                    </w:pPr>
                    <w:r>
                      <w:rPr>
                        <w:rFonts w:ascii="Arial"/>
                        <w:position w:val="3"/>
                        <w:sz w:val="30"/>
                      </w:rPr>
                      <w:t>Fecha : </w:t>
                    </w:r>
                    <w:r>
                      <w:rPr>
                        <w:rFonts w:ascii="Arial"/>
                        <w:sz w:val="33"/>
                      </w:rPr>
                      <w:t>24/02/2025</w:t>
                    </w:r>
                  </w:p>
                </w:txbxContent>
              </v:textbox>
              <w10:wrap type="none"/>
            </v:shape>
            <v:shape style="position:absolute;left:2959;top:601;width:11285;height:928" type="#_x0000_t202" filled="false" stroked="false">
              <v:textbox inset="0,0,0,0">
                <w:txbxContent>
                  <w:p>
                    <w:pPr>
                      <w:spacing w:line="375" w:lineRule="exact" w:before="0"/>
                      <w:ind w:left="0" w:right="0" w:firstLine="0"/>
                      <w:jc w:val="left"/>
                      <w:rPr>
                        <w:rFonts w:ascii="Arial"/>
                        <w:b/>
                        <w:sz w:val="33"/>
                      </w:rPr>
                    </w:pPr>
                    <w:r>
                      <w:rPr>
                        <w:rFonts w:ascii="Arial"/>
                        <w:b/>
                        <w:position w:val="3"/>
                        <w:sz w:val="30"/>
                      </w:rPr>
                      <w:t>) </w:t>
                    </w:r>
                    <w:r>
                      <w:rPr>
                        <w:rFonts w:ascii="Arial"/>
                        <w:b/>
                        <w:sz w:val="33"/>
                      </w:rPr>
                      <w:t>FUNDACION CANARIA PARA LA PR</w:t>
                    </w:r>
                  </w:p>
                  <w:p>
                    <w:pPr>
                      <w:spacing w:before="34"/>
                      <w:ind w:left="4603" w:right="0" w:firstLine="0"/>
                      <w:jc w:val="left"/>
                      <w:rPr>
                        <w:rFonts w:ascii="Arial" w:hAnsi="Arial"/>
                        <w:sz w:val="45"/>
                      </w:rPr>
                    </w:pPr>
                    <w:r>
                      <w:rPr>
                        <w:rFonts w:ascii="Arial" w:hAnsi="Arial"/>
                        <w:sz w:val="45"/>
                      </w:rPr>
                      <w:t>Balance de Situación Abreviado</w:t>
                    </w:r>
                  </w:p>
                </w:txbxContent>
              </v:textbox>
              <w10:wrap type="none"/>
            </v:shape>
            <v:shape style="position:absolute;left:1663;top:605;width:1075;height:337" type="#_x0000_t202" filled="false" stroked="false">
              <v:textbox inset="0,0,0,0">
                <w:txbxContent>
                  <w:p>
                    <w:pPr>
                      <w:spacing w:line="337" w:lineRule="exact" w:before="0"/>
                      <w:ind w:left="0" w:right="0" w:firstLine="0"/>
                      <w:jc w:val="left"/>
                      <w:rPr>
                        <w:rFonts w:ascii="Arial"/>
                        <w:b/>
                        <w:sz w:val="30"/>
                      </w:rPr>
                    </w:pPr>
                    <w:r>
                      <w:rPr>
                        <w:rFonts w:ascii="Arial"/>
                        <w:b/>
                        <w:sz w:val="30"/>
                      </w:rPr>
                      <w:t>( 00459</w:t>
                    </w:r>
                  </w:p>
                </w:txbxContent>
              </v:textbox>
              <w10:wrap type="none"/>
            </v:shape>
            <w10:wrap type="none"/>
          </v:group>
        </w:pict>
      </w:r>
      <w:r>
        <w:rPr/>
        <w:pict>
          <v:line style="position:absolute;mso-position-horizontal-relative:page;mso-position-vertical-relative:page;z-index:251676672" from="77.753143pt,172.080673pt" to="1033.515406pt,172.080673pt" stroked="true" strokeweight=".053998pt" strokecolor="#000000">
            <v:stroke dashstyle="solid"/>
            <w10:wrap type="none"/>
          </v:line>
        </w:pict>
      </w:r>
      <w:r>
        <w:rPr>
          <w:rFonts w:ascii="Arial"/>
          <w:color w:val="FEFEFE"/>
          <w:position w:val="-5"/>
          <w:sz w:val="37"/>
        </w:rPr>
        <w:t>.</w:t>
        <w:tab/>
      </w:r>
      <w:r>
        <w:rPr>
          <w:rFonts w:ascii="Arial"/>
          <w:b/>
          <w:sz w:val="30"/>
        </w:rPr>
        <w:t>A) ACTIVO NO</w:t>
      </w:r>
      <w:r>
        <w:rPr>
          <w:rFonts w:ascii="Arial"/>
          <w:b/>
          <w:spacing w:val="2"/>
          <w:sz w:val="30"/>
        </w:rPr>
        <w:t> </w:t>
      </w:r>
      <w:r>
        <w:rPr>
          <w:rFonts w:ascii="Arial"/>
          <w:b/>
          <w:sz w:val="30"/>
        </w:rPr>
        <w:t>CORRIENTE</w:t>
      </w:r>
    </w:p>
    <w:p>
      <w:pPr>
        <w:spacing w:before="5"/>
        <w:ind w:left="159" w:right="0" w:firstLine="0"/>
        <w:jc w:val="left"/>
        <w:rPr>
          <w:rFonts w:ascii="Arial"/>
          <w:sz w:val="37"/>
        </w:rPr>
      </w:pPr>
      <w:r>
        <w:rPr/>
        <w:pict>
          <v:shape style="position:absolute;margin-left:82.380196pt;margin-top:1.037088pt;width:877.65pt;height:405.65pt;mso-position-horizontal-relative:page;mso-position-vertical-relative:paragraph;z-index:251677696"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72"/>
                    <w:gridCol w:w="5416"/>
                    <w:gridCol w:w="2964"/>
                  </w:tblGrid>
                  <w:tr>
                    <w:trPr>
                      <w:trHeight w:val="384" w:hRule="atLeast"/>
                    </w:trPr>
                    <w:tc>
                      <w:tcPr>
                        <w:tcW w:w="9172" w:type="dxa"/>
                      </w:tcPr>
                      <w:p>
                        <w:pPr>
                          <w:pStyle w:val="TableParagraph"/>
                          <w:spacing w:line="337" w:lineRule="exact" w:before="0"/>
                          <w:ind w:left="300"/>
                          <w:rPr>
                            <w:rFonts w:ascii="Arial"/>
                            <w:sz w:val="30"/>
                          </w:rPr>
                        </w:pPr>
                        <w:r>
                          <w:rPr>
                            <w:rFonts w:ascii="Arial"/>
                            <w:sz w:val="30"/>
                          </w:rPr>
                          <w:t>I Inmovilizado intangible</w:t>
                        </w:r>
                      </w:p>
                    </w:tc>
                    <w:tc>
                      <w:tcPr>
                        <w:tcW w:w="5416" w:type="dxa"/>
                      </w:tcPr>
                      <w:p>
                        <w:pPr>
                          <w:pStyle w:val="TableParagraph"/>
                          <w:spacing w:line="337" w:lineRule="exact" w:before="0"/>
                          <w:ind w:right="1412"/>
                          <w:jc w:val="right"/>
                          <w:rPr>
                            <w:rFonts w:ascii="Arial"/>
                            <w:sz w:val="30"/>
                          </w:rPr>
                        </w:pPr>
                        <w:r>
                          <w:rPr>
                            <w:rFonts w:ascii="Arial"/>
                            <w:sz w:val="30"/>
                          </w:rPr>
                          <w:t>476,44</w:t>
                        </w:r>
                      </w:p>
                    </w:tc>
                    <w:tc>
                      <w:tcPr>
                        <w:tcW w:w="2964" w:type="dxa"/>
                      </w:tcPr>
                      <w:p>
                        <w:pPr>
                          <w:pStyle w:val="TableParagraph"/>
                          <w:spacing w:line="337" w:lineRule="exact" w:before="0"/>
                          <w:ind w:right="53"/>
                          <w:jc w:val="right"/>
                          <w:rPr>
                            <w:rFonts w:ascii="Arial"/>
                            <w:sz w:val="30"/>
                          </w:rPr>
                        </w:pPr>
                        <w:r>
                          <w:rPr>
                            <w:rFonts w:ascii="Arial"/>
                            <w:sz w:val="30"/>
                          </w:rPr>
                          <w:t>1.670,10</w:t>
                        </w:r>
                      </w:p>
                    </w:tc>
                  </w:tr>
                  <w:tr>
                    <w:trPr>
                      <w:trHeight w:val="431" w:hRule="atLeast"/>
                    </w:trPr>
                    <w:tc>
                      <w:tcPr>
                        <w:tcW w:w="9172" w:type="dxa"/>
                      </w:tcPr>
                      <w:p>
                        <w:pPr>
                          <w:pStyle w:val="TableParagraph"/>
                          <w:spacing w:before="39"/>
                          <w:ind w:left="300"/>
                          <w:rPr>
                            <w:rFonts w:ascii="Arial"/>
                            <w:sz w:val="30"/>
                          </w:rPr>
                        </w:pPr>
                        <w:r>
                          <w:rPr>
                            <w:rFonts w:ascii="Arial"/>
                            <w:sz w:val="30"/>
                          </w:rPr>
                          <w:t>III Inmovilizado material</w:t>
                        </w:r>
                      </w:p>
                    </w:tc>
                    <w:tc>
                      <w:tcPr>
                        <w:tcW w:w="5416" w:type="dxa"/>
                      </w:tcPr>
                      <w:p>
                        <w:pPr>
                          <w:pStyle w:val="TableParagraph"/>
                          <w:spacing w:before="39"/>
                          <w:ind w:right="1406"/>
                          <w:jc w:val="right"/>
                          <w:rPr>
                            <w:rFonts w:ascii="Arial"/>
                            <w:sz w:val="30"/>
                          </w:rPr>
                        </w:pPr>
                        <w:r>
                          <w:rPr>
                            <w:rFonts w:ascii="Arial"/>
                            <w:sz w:val="30"/>
                          </w:rPr>
                          <w:t>30.764,85</w:t>
                        </w:r>
                      </w:p>
                    </w:tc>
                    <w:tc>
                      <w:tcPr>
                        <w:tcW w:w="2964" w:type="dxa"/>
                      </w:tcPr>
                      <w:p>
                        <w:pPr>
                          <w:pStyle w:val="TableParagraph"/>
                          <w:spacing w:before="39"/>
                          <w:ind w:right="50"/>
                          <w:jc w:val="right"/>
                          <w:rPr>
                            <w:rFonts w:ascii="Arial"/>
                            <w:sz w:val="30"/>
                          </w:rPr>
                        </w:pPr>
                        <w:r>
                          <w:rPr>
                            <w:rFonts w:ascii="Arial"/>
                            <w:sz w:val="30"/>
                          </w:rPr>
                          <w:t>28.979,60</w:t>
                        </w:r>
                      </w:p>
                    </w:tc>
                  </w:tr>
                  <w:tr>
                    <w:trPr>
                      <w:trHeight w:val="384" w:hRule="atLeast"/>
                    </w:trPr>
                    <w:tc>
                      <w:tcPr>
                        <w:tcW w:w="9172" w:type="dxa"/>
                      </w:tcPr>
                      <w:p>
                        <w:pPr>
                          <w:pStyle w:val="TableParagraph"/>
                          <w:spacing w:line="325" w:lineRule="exact" w:before="39"/>
                          <w:ind w:left="50"/>
                          <w:rPr>
                            <w:rFonts w:ascii="Arial"/>
                            <w:b/>
                            <w:sz w:val="30"/>
                          </w:rPr>
                        </w:pPr>
                        <w:r>
                          <w:rPr>
                            <w:rFonts w:ascii="Arial"/>
                            <w:b/>
                            <w:sz w:val="30"/>
                          </w:rPr>
                          <w:t>B) ACTIVO CORRIENTE</w:t>
                        </w:r>
                      </w:p>
                    </w:tc>
                    <w:tc>
                      <w:tcPr>
                        <w:tcW w:w="5416" w:type="dxa"/>
                      </w:tcPr>
                      <w:p>
                        <w:pPr>
                          <w:pStyle w:val="TableParagraph"/>
                          <w:spacing w:line="325" w:lineRule="exact" w:before="39"/>
                          <w:ind w:right="1403"/>
                          <w:jc w:val="right"/>
                          <w:rPr>
                            <w:rFonts w:ascii="Arial"/>
                            <w:b/>
                            <w:sz w:val="30"/>
                          </w:rPr>
                        </w:pPr>
                        <w:r>
                          <w:rPr>
                            <w:rFonts w:ascii="Arial"/>
                            <w:b/>
                            <w:sz w:val="30"/>
                          </w:rPr>
                          <w:t>225.591,21</w:t>
                        </w:r>
                      </w:p>
                    </w:tc>
                    <w:tc>
                      <w:tcPr>
                        <w:tcW w:w="2964" w:type="dxa"/>
                      </w:tcPr>
                      <w:p>
                        <w:pPr>
                          <w:pStyle w:val="TableParagraph"/>
                          <w:spacing w:line="325" w:lineRule="exact" w:before="39"/>
                          <w:ind w:right="47"/>
                          <w:jc w:val="right"/>
                          <w:rPr>
                            <w:rFonts w:ascii="Arial"/>
                            <w:b/>
                            <w:sz w:val="30"/>
                          </w:rPr>
                        </w:pPr>
                        <w:r>
                          <w:rPr>
                            <w:rFonts w:ascii="Arial"/>
                            <w:b/>
                            <w:sz w:val="30"/>
                          </w:rPr>
                          <w:t>182.736,25</w:t>
                        </w:r>
                      </w:p>
                    </w:tc>
                  </w:tr>
                  <w:tr>
                    <w:trPr>
                      <w:trHeight w:val="479" w:hRule="atLeast"/>
                    </w:trPr>
                    <w:tc>
                      <w:tcPr>
                        <w:tcW w:w="9172" w:type="dxa"/>
                      </w:tcPr>
                      <w:p>
                        <w:pPr>
                          <w:pStyle w:val="TableParagraph"/>
                          <w:spacing w:before="86"/>
                          <w:ind w:left="300"/>
                          <w:rPr>
                            <w:rFonts w:ascii="Arial"/>
                            <w:sz w:val="30"/>
                          </w:rPr>
                        </w:pPr>
                        <w:r>
                          <w:rPr>
                            <w:rFonts w:ascii="Arial"/>
                            <w:sz w:val="30"/>
                          </w:rPr>
                          <w:t>III Us. y otros deudores de la activ. propia</w:t>
                        </w:r>
                      </w:p>
                    </w:tc>
                    <w:tc>
                      <w:tcPr>
                        <w:tcW w:w="5416" w:type="dxa"/>
                      </w:tcPr>
                      <w:p>
                        <w:pPr>
                          <w:pStyle w:val="TableParagraph"/>
                          <w:spacing w:before="86"/>
                          <w:ind w:right="1403"/>
                          <w:jc w:val="right"/>
                          <w:rPr>
                            <w:rFonts w:ascii="Arial"/>
                            <w:sz w:val="30"/>
                          </w:rPr>
                        </w:pPr>
                        <w:r>
                          <w:rPr>
                            <w:rFonts w:ascii="Arial"/>
                            <w:sz w:val="30"/>
                          </w:rPr>
                          <w:t>134.656,45</w:t>
                        </w:r>
                      </w:p>
                    </w:tc>
                    <w:tc>
                      <w:tcPr>
                        <w:tcW w:w="2964" w:type="dxa"/>
                      </w:tcPr>
                      <w:p>
                        <w:pPr>
                          <w:pStyle w:val="TableParagraph"/>
                          <w:spacing w:before="86"/>
                          <w:ind w:right="50"/>
                          <w:jc w:val="right"/>
                          <w:rPr>
                            <w:rFonts w:ascii="Arial"/>
                            <w:sz w:val="30"/>
                          </w:rPr>
                        </w:pPr>
                        <w:r>
                          <w:rPr>
                            <w:rFonts w:ascii="Arial"/>
                            <w:sz w:val="30"/>
                          </w:rPr>
                          <w:t>67.963,41</w:t>
                        </w:r>
                      </w:p>
                    </w:tc>
                  </w:tr>
                  <w:tr>
                    <w:trPr>
                      <w:trHeight w:val="431" w:hRule="atLeast"/>
                    </w:trPr>
                    <w:tc>
                      <w:tcPr>
                        <w:tcW w:w="9172" w:type="dxa"/>
                      </w:tcPr>
                      <w:p>
                        <w:pPr>
                          <w:pStyle w:val="TableParagraph"/>
                          <w:spacing w:before="39"/>
                          <w:ind w:left="300"/>
                          <w:rPr>
                            <w:rFonts w:ascii="Arial"/>
                            <w:sz w:val="30"/>
                          </w:rPr>
                        </w:pPr>
                        <w:r>
                          <w:rPr>
                            <w:rFonts w:ascii="Arial"/>
                            <w:sz w:val="30"/>
                          </w:rPr>
                          <w:t>VII Periodificaciones a corto plazo</w:t>
                        </w:r>
                      </w:p>
                    </w:tc>
                    <w:tc>
                      <w:tcPr>
                        <w:tcW w:w="5416" w:type="dxa"/>
                      </w:tcPr>
                      <w:p>
                        <w:pPr>
                          <w:pStyle w:val="TableParagraph"/>
                          <w:spacing w:before="39"/>
                          <w:ind w:right="1409"/>
                          <w:jc w:val="right"/>
                          <w:rPr>
                            <w:rFonts w:ascii="Arial"/>
                            <w:sz w:val="30"/>
                          </w:rPr>
                        </w:pPr>
                        <w:r>
                          <w:rPr>
                            <w:rFonts w:ascii="Arial"/>
                            <w:sz w:val="30"/>
                          </w:rPr>
                          <w:t>2.097,20</w:t>
                        </w:r>
                      </w:p>
                    </w:tc>
                    <w:tc>
                      <w:tcPr>
                        <w:tcW w:w="2964" w:type="dxa"/>
                      </w:tcPr>
                      <w:p>
                        <w:pPr>
                          <w:pStyle w:val="TableParagraph"/>
                          <w:spacing w:before="39"/>
                          <w:ind w:right="53"/>
                          <w:jc w:val="right"/>
                          <w:rPr>
                            <w:rFonts w:ascii="Arial"/>
                            <w:sz w:val="30"/>
                          </w:rPr>
                        </w:pPr>
                        <w:r>
                          <w:rPr>
                            <w:rFonts w:ascii="Arial"/>
                            <w:sz w:val="30"/>
                          </w:rPr>
                          <w:t>2.097,20</w:t>
                        </w:r>
                      </w:p>
                    </w:tc>
                  </w:tr>
                  <w:tr>
                    <w:trPr>
                      <w:trHeight w:val="384" w:hRule="atLeast"/>
                    </w:trPr>
                    <w:tc>
                      <w:tcPr>
                        <w:tcW w:w="9172" w:type="dxa"/>
                      </w:tcPr>
                      <w:p>
                        <w:pPr>
                          <w:pStyle w:val="TableParagraph"/>
                          <w:spacing w:line="325" w:lineRule="exact" w:before="39"/>
                          <w:ind w:left="300"/>
                          <w:rPr>
                            <w:rFonts w:ascii="Arial" w:hAnsi="Arial"/>
                            <w:sz w:val="30"/>
                          </w:rPr>
                        </w:pPr>
                        <w:r>
                          <w:rPr>
                            <w:rFonts w:ascii="Arial" w:hAnsi="Arial"/>
                            <w:sz w:val="30"/>
                          </w:rPr>
                          <w:t>V3 Efect.y otros activ.líquidos equivalente</w:t>
                        </w:r>
                      </w:p>
                    </w:tc>
                    <w:tc>
                      <w:tcPr>
                        <w:tcW w:w="5416" w:type="dxa"/>
                      </w:tcPr>
                      <w:p>
                        <w:pPr>
                          <w:pStyle w:val="TableParagraph"/>
                          <w:spacing w:line="325" w:lineRule="exact" w:before="39"/>
                          <w:ind w:right="1406"/>
                          <w:jc w:val="right"/>
                          <w:rPr>
                            <w:rFonts w:ascii="Arial"/>
                            <w:sz w:val="30"/>
                          </w:rPr>
                        </w:pPr>
                        <w:r>
                          <w:rPr>
                            <w:rFonts w:ascii="Arial"/>
                            <w:sz w:val="30"/>
                          </w:rPr>
                          <w:t>88.837,56</w:t>
                        </w:r>
                      </w:p>
                    </w:tc>
                    <w:tc>
                      <w:tcPr>
                        <w:tcW w:w="2964" w:type="dxa"/>
                      </w:tcPr>
                      <w:p>
                        <w:pPr>
                          <w:pStyle w:val="TableParagraph"/>
                          <w:spacing w:line="325" w:lineRule="exact" w:before="39"/>
                          <w:ind w:right="47"/>
                          <w:jc w:val="right"/>
                          <w:rPr>
                            <w:rFonts w:ascii="Arial"/>
                            <w:sz w:val="30"/>
                          </w:rPr>
                        </w:pPr>
                        <w:r>
                          <w:rPr>
                            <w:rFonts w:ascii="Arial"/>
                            <w:sz w:val="30"/>
                          </w:rPr>
                          <w:t>112.675,64</w:t>
                        </w:r>
                      </w:p>
                    </w:tc>
                  </w:tr>
                  <w:tr>
                    <w:trPr>
                      <w:trHeight w:val="479" w:hRule="atLeast"/>
                    </w:trPr>
                    <w:tc>
                      <w:tcPr>
                        <w:tcW w:w="9172" w:type="dxa"/>
                      </w:tcPr>
                      <w:p>
                        <w:pPr>
                          <w:pStyle w:val="TableParagraph"/>
                          <w:spacing w:before="86"/>
                          <w:ind w:left="50"/>
                          <w:rPr>
                            <w:rFonts w:ascii="Arial"/>
                            <w:sz w:val="30"/>
                          </w:rPr>
                        </w:pPr>
                        <w:r>
                          <w:rPr>
                            <w:rFonts w:ascii="Arial"/>
                            <w:w w:val="100"/>
                            <w:sz w:val="30"/>
                          </w:rPr>
                          <w:t>,</w:t>
                        </w:r>
                      </w:p>
                    </w:tc>
                    <w:tc>
                      <w:tcPr>
                        <w:tcW w:w="5416" w:type="dxa"/>
                      </w:tcPr>
                      <w:p>
                        <w:pPr>
                          <w:pStyle w:val="TableParagraph"/>
                          <w:spacing w:before="0"/>
                          <w:rPr>
                            <w:rFonts w:ascii="Times New Roman"/>
                            <w:sz w:val="30"/>
                          </w:rPr>
                        </w:pPr>
                      </w:p>
                    </w:tc>
                    <w:tc>
                      <w:tcPr>
                        <w:tcW w:w="2964" w:type="dxa"/>
                      </w:tcPr>
                      <w:p>
                        <w:pPr>
                          <w:pStyle w:val="TableParagraph"/>
                          <w:spacing w:before="0"/>
                          <w:rPr>
                            <w:rFonts w:ascii="Times New Roman"/>
                            <w:sz w:val="30"/>
                          </w:rPr>
                        </w:pPr>
                      </w:p>
                    </w:tc>
                  </w:tr>
                  <w:tr>
                    <w:trPr>
                      <w:trHeight w:val="431" w:hRule="atLeast"/>
                    </w:trPr>
                    <w:tc>
                      <w:tcPr>
                        <w:tcW w:w="9172" w:type="dxa"/>
                      </w:tcPr>
                      <w:p>
                        <w:pPr>
                          <w:pStyle w:val="TableParagraph"/>
                          <w:spacing w:before="39"/>
                          <w:ind w:left="50"/>
                          <w:rPr>
                            <w:rFonts w:ascii="Arial"/>
                            <w:b/>
                            <w:i/>
                            <w:sz w:val="30"/>
                          </w:rPr>
                        </w:pPr>
                        <w:r>
                          <w:rPr>
                            <w:rFonts w:ascii="Arial"/>
                            <w:b/>
                            <w:i/>
                            <w:sz w:val="30"/>
                          </w:rPr>
                          <w:t>=== TOTAL ACTIVO</w:t>
                        </w:r>
                      </w:p>
                    </w:tc>
                    <w:tc>
                      <w:tcPr>
                        <w:tcW w:w="5416" w:type="dxa"/>
                      </w:tcPr>
                      <w:p>
                        <w:pPr>
                          <w:pStyle w:val="TableParagraph"/>
                          <w:spacing w:before="39"/>
                          <w:ind w:right="1403"/>
                          <w:jc w:val="right"/>
                          <w:rPr>
                            <w:rFonts w:ascii="Arial"/>
                            <w:b/>
                            <w:i/>
                            <w:sz w:val="30"/>
                          </w:rPr>
                        </w:pPr>
                        <w:r>
                          <w:rPr>
                            <w:rFonts w:ascii="Arial"/>
                            <w:b/>
                            <w:i/>
                            <w:sz w:val="30"/>
                          </w:rPr>
                          <w:t>256.832,50</w:t>
                        </w:r>
                      </w:p>
                    </w:tc>
                    <w:tc>
                      <w:tcPr>
                        <w:tcW w:w="2964" w:type="dxa"/>
                      </w:tcPr>
                      <w:p>
                        <w:pPr>
                          <w:pStyle w:val="TableParagraph"/>
                          <w:spacing w:before="39"/>
                          <w:ind w:right="47"/>
                          <w:jc w:val="right"/>
                          <w:rPr>
                            <w:rFonts w:ascii="Arial"/>
                            <w:b/>
                            <w:i/>
                            <w:sz w:val="30"/>
                          </w:rPr>
                        </w:pPr>
                        <w:r>
                          <w:rPr>
                            <w:rFonts w:ascii="Arial"/>
                            <w:b/>
                            <w:i/>
                            <w:sz w:val="30"/>
                          </w:rPr>
                          <w:t>213.385,95</w:t>
                        </w:r>
                      </w:p>
                    </w:tc>
                  </w:tr>
                  <w:tr>
                    <w:trPr>
                      <w:trHeight w:val="431" w:hRule="atLeast"/>
                    </w:trPr>
                    <w:tc>
                      <w:tcPr>
                        <w:tcW w:w="9172" w:type="dxa"/>
                      </w:tcPr>
                      <w:p>
                        <w:pPr>
                          <w:pStyle w:val="TableParagraph"/>
                          <w:spacing w:before="39"/>
                          <w:ind w:left="50"/>
                          <w:rPr>
                            <w:rFonts w:ascii="Arial"/>
                            <w:b/>
                            <w:i/>
                            <w:sz w:val="30"/>
                          </w:rPr>
                        </w:pPr>
                        <w:r>
                          <w:rPr>
                            <w:rFonts w:ascii="Arial"/>
                            <w:b/>
                            <w:i/>
                            <w:sz w:val="30"/>
                          </w:rPr>
                          <w:t>=== TOTAL FINAL</w:t>
                        </w:r>
                        <w:r>
                          <w:rPr>
                            <w:rFonts w:ascii="Arial"/>
                            <w:b/>
                            <w:i/>
                            <w:spacing w:val="79"/>
                            <w:sz w:val="30"/>
                          </w:rPr>
                          <w:t> </w:t>
                        </w:r>
                        <w:r>
                          <w:rPr>
                            <w:rFonts w:ascii="Arial"/>
                            <w:b/>
                            <w:i/>
                            <w:sz w:val="30"/>
                          </w:rPr>
                          <w:t>......................</w:t>
                        </w:r>
                      </w:p>
                    </w:tc>
                    <w:tc>
                      <w:tcPr>
                        <w:tcW w:w="5416" w:type="dxa"/>
                      </w:tcPr>
                      <w:p>
                        <w:pPr>
                          <w:pStyle w:val="TableParagraph"/>
                          <w:spacing w:before="39"/>
                          <w:ind w:right="1403"/>
                          <w:jc w:val="right"/>
                          <w:rPr>
                            <w:rFonts w:ascii="Arial"/>
                            <w:b/>
                            <w:i/>
                            <w:sz w:val="30"/>
                          </w:rPr>
                        </w:pPr>
                        <w:r>
                          <w:rPr>
                            <w:rFonts w:ascii="Arial"/>
                            <w:b/>
                            <w:i/>
                            <w:sz w:val="30"/>
                          </w:rPr>
                          <w:t>256.832,50</w:t>
                        </w:r>
                      </w:p>
                    </w:tc>
                    <w:tc>
                      <w:tcPr>
                        <w:tcW w:w="2964" w:type="dxa"/>
                      </w:tcPr>
                      <w:p>
                        <w:pPr>
                          <w:pStyle w:val="TableParagraph"/>
                          <w:spacing w:before="39"/>
                          <w:ind w:right="47"/>
                          <w:jc w:val="right"/>
                          <w:rPr>
                            <w:rFonts w:ascii="Arial"/>
                            <w:b/>
                            <w:i/>
                            <w:sz w:val="30"/>
                          </w:rPr>
                        </w:pPr>
                        <w:r>
                          <w:rPr>
                            <w:rFonts w:ascii="Arial"/>
                            <w:b/>
                            <w:i/>
                            <w:sz w:val="30"/>
                          </w:rPr>
                          <w:t>213.385,95</w:t>
                        </w:r>
                      </w:p>
                    </w:tc>
                  </w:tr>
                  <w:tr>
                    <w:trPr>
                      <w:trHeight w:val="431" w:hRule="atLeast"/>
                    </w:trPr>
                    <w:tc>
                      <w:tcPr>
                        <w:tcW w:w="9172" w:type="dxa"/>
                      </w:tcPr>
                      <w:p>
                        <w:pPr>
                          <w:pStyle w:val="TableParagraph"/>
                          <w:spacing w:before="39"/>
                          <w:ind w:left="50"/>
                          <w:rPr>
                            <w:rFonts w:ascii="Arial"/>
                            <w:sz w:val="30"/>
                          </w:rPr>
                        </w:pPr>
                        <w:r>
                          <w:rPr>
                            <w:rFonts w:ascii="Arial"/>
                            <w:w w:val="100"/>
                            <w:sz w:val="30"/>
                          </w:rPr>
                          <w:t>,</w:t>
                        </w:r>
                      </w:p>
                    </w:tc>
                    <w:tc>
                      <w:tcPr>
                        <w:tcW w:w="5416" w:type="dxa"/>
                      </w:tcPr>
                      <w:p>
                        <w:pPr>
                          <w:pStyle w:val="TableParagraph"/>
                          <w:spacing w:before="0"/>
                          <w:rPr>
                            <w:rFonts w:ascii="Times New Roman"/>
                            <w:sz w:val="30"/>
                          </w:rPr>
                        </w:pPr>
                      </w:p>
                    </w:tc>
                    <w:tc>
                      <w:tcPr>
                        <w:tcW w:w="2964" w:type="dxa"/>
                      </w:tcPr>
                      <w:p>
                        <w:pPr>
                          <w:pStyle w:val="TableParagraph"/>
                          <w:spacing w:before="0"/>
                          <w:rPr>
                            <w:rFonts w:ascii="Times New Roman"/>
                            <w:sz w:val="30"/>
                          </w:rPr>
                        </w:pPr>
                      </w:p>
                    </w:tc>
                  </w:tr>
                  <w:tr>
                    <w:trPr>
                      <w:trHeight w:val="431" w:hRule="atLeast"/>
                    </w:trPr>
                    <w:tc>
                      <w:tcPr>
                        <w:tcW w:w="9172" w:type="dxa"/>
                      </w:tcPr>
                      <w:p>
                        <w:pPr>
                          <w:pStyle w:val="TableParagraph"/>
                          <w:spacing w:before="39"/>
                          <w:ind w:left="50"/>
                          <w:rPr>
                            <w:rFonts w:ascii="Arial"/>
                            <w:b/>
                            <w:i/>
                            <w:sz w:val="30"/>
                          </w:rPr>
                        </w:pPr>
                        <w:r>
                          <w:rPr>
                            <w:rFonts w:ascii="Arial"/>
                            <w:b/>
                            <w:i/>
                            <w:sz w:val="30"/>
                          </w:rPr>
                          <w:t>=== PATRIMONIO NETO Y PASIVO =========</w:t>
                        </w:r>
                      </w:p>
                    </w:tc>
                    <w:tc>
                      <w:tcPr>
                        <w:tcW w:w="5416" w:type="dxa"/>
                      </w:tcPr>
                      <w:p>
                        <w:pPr>
                          <w:pStyle w:val="TableParagraph"/>
                          <w:spacing w:before="0"/>
                          <w:rPr>
                            <w:rFonts w:ascii="Times New Roman"/>
                            <w:sz w:val="30"/>
                          </w:rPr>
                        </w:pPr>
                      </w:p>
                    </w:tc>
                    <w:tc>
                      <w:tcPr>
                        <w:tcW w:w="2964" w:type="dxa"/>
                      </w:tcPr>
                      <w:p>
                        <w:pPr>
                          <w:pStyle w:val="TableParagraph"/>
                          <w:spacing w:before="0"/>
                          <w:rPr>
                            <w:rFonts w:ascii="Times New Roman"/>
                            <w:sz w:val="30"/>
                          </w:rPr>
                        </w:pPr>
                      </w:p>
                    </w:tc>
                  </w:tr>
                  <w:tr>
                    <w:trPr>
                      <w:trHeight w:val="384" w:hRule="atLeast"/>
                    </w:trPr>
                    <w:tc>
                      <w:tcPr>
                        <w:tcW w:w="9172" w:type="dxa"/>
                      </w:tcPr>
                      <w:p>
                        <w:pPr>
                          <w:pStyle w:val="TableParagraph"/>
                          <w:spacing w:line="325" w:lineRule="exact" w:before="39"/>
                          <w:ind w:left="50"/>
                          <w:rPr>
                            <w:rFonts w:ascii="Arial"/>
                            <w:b/>
                            <w:sz w:val="30"/>
                          </w:rPr>
                        </w:pPr>
                        <w:r>
                          <w:rPr>
                            <w:rFonts w:ascii="Arial"/>
                            <w:b/>
                            <w:sz w:val="30"/>
                          </w:rPr>
                          <w:t>A) PATRIMONIO NETO</w:t>
                        </w:r>
                      </w:p>
                    </w:tc>
                    <w:tc>
                      <w:tcPr>
                        <w:tcW w:w="5416" w:type="dxa"/>
                      </w:tcPr>
                      <w:p>
                        <w:pPr>
                          <w:pStyle w:val="TableParagraph"/>
                          <w:spacing w:line="325" w:lineRule="exact" w:before="39"/>
                          <w:ind w:right="1403"/>
                          <w:jc w:val="right"/>
                          <w:rPr>
                            <w:rFonts w:ascii="Arial"/>
                            <w:b/>
                            <w:sz w:val="30"/>
                          </w:rPr>
                        </w:pPr>
                        <w:r>
                          <w:rPr>
                            <w:rFonts w:ascii="Arial"/>
                            <w:b/>
                            <w:sz w:val="30"/>
                          </w:rPr>
                          <w:t>152.292,74</w:t>
                        </w:r>
                      </w:p>
                    </w:tc>
                    <w:tc>
                      <w:tcPr>
                        <w:tcW w:w="2964" w:type="dxa"/>
                      </w:tcPr>
                      <w:p>
                        <w:pPr>
                          <w:pStyle w:val="TableParagraph"/>
                          <w:spacing w:line="325" w:lineRule="exact" w:before="39"/>
                          <w:ind w:right="47"/>
                          <w:jc w:val="right"/>
                          <w:rPr>
                            <w:rFonts w:ascii="Arial"/>
                            <w:b/>
                            <w:sz w:val="30"/>
                          </w:rPr>
                        </w:pPr>
                        <w:r>
                          <w:rPr>
                            <w:rFonts w:ascii="Arial"/>
                            <w:b/>
                            <w:sz w:val="30"/>
                          </w:rPr>
                          <w:t>127.999,50</w:t>
                        </w:r>
                      </w:p>
                    </w:tc>
                  </w:tr>
                  <w:tr>
                    <w:trPr>
                      <w:trHeight w:val="505" w:hRule="atLeast"/>
                    </w:trPr>
                    <w:tc>
                      <w:tcPr>
                        <w:tcW w:w="9172" w:type="dxa"/>
                      </w:tcPr>
                      <w:p>
                        <w:pPr>
                          <w:pStyle w:val="TableParagraph"/>
                          <w:spacing w:before="86"/>
                          <w:ind w:left="300"/>
                          <w:rPr>
                            <w:rFonts w:ascii="Arial"/>
                            <w:b/>
                            <w:sz w:val="30"/>
                          </w:rPr>
                        </w:pPr>
                        <w:r>
                          <w:rPr>
                            <w:rFonts w:ascii="Arial"/>
                            <w:b/>
                            <w:sz w:val="30"/>
                          </w:rPr>
                          <w:t>A-1 Fondos propios</w:t>
                        </w:r>
                      </w:p>
                    </w:tc>
                    <w:tc>
                      <w:tcPr>
                        <w:tcW w:w="5416" w:type="dxa"/>
                      </w:tcPr>
                      <w:p>
                        <w:pPr>
                          <w:pStyle w:val="TableParagraph"/>
                          <w:spacing w:before="86"/>
                          <w:ind w:right="1403"/>
                          <w:jc w:val="right"/>
                          <w:rPr>
                            <w:rFonts w:ascii="Arial"/>
                            <w:b/>
                            <w:sz w:val="30"/>
                          </w:rPr>
                        </w:pPr>
                        <w:r>
                          <w:rPr>
                            <w:rFonts w:ascii="Arial"/>
                            <w:b/>
                            <w:sz w:val="30"/>
                          </w:rPr>
                          <w:t>152.175,37</w:t>
                        </w:r>
                      </w:p>
                    </w:tc>
                    <w:tc>
                      <w:tcPr>
                        <w:tcW w:w="2964" w:type="dxa"/>
                      </w:tcPr>
                      <w:p>
                        <w:pPr>
                          <w:pStyle w:val="TableParagraph"/>
                          <w:spacing w:before="86"/>
                          <w:ind w:right="47"/>
                          <w:jc w:val="right"/>
                          <w:rPr>
                            <w:rFonts w:ascii="Arial"/>
                            <w:b/>
                            <w:sz w:val="30"/>
                          </w:rPr>
                        </w:pPr>
                        <w:r>
                          <w:rPr>
                            <w:rFonts w:ascii="Arial"/>
                            <w:b/>
                            <w:sz w:val="30"/>
                          </w:rPr>
                          <w:t>127.340,62</w:t>
                        </w:r>
                      </w:p>
                    </w:tc>
                  </w:tr>
                  <w:tr>
                    <w:trPr>
                      <w:trHeight w:val="405" w:hRule="atLeast"/>
                    </w:trPr>
                    <w:tc>
                      <w:tcPr>
                        <w:tcW w:w="9172" w:type="dxa"/>
                      </w:tcPr>
                      <w:p>
                        <w:pPr>
                          <w:pStyle w:val="TableParagraph"/>
                          <w:spacing w:before="13"/>
                          <w:ind w:left="551"/>
                          <w:rPr>
                            <w:rFonts w:ascii="Arial" w:hAnsi="Arial"/>
                            <w:b/>
                            <w:sz w:val="30"/>
                          </w:rPr>
                        </w:pPr>
                        <w:r>
                          <w:rPr>
                            <w:rFonts w:ascii="Arial" w:hAnsi="Arial"/>
                            <w:b/>
                            <w:sz w:val="30"/>
                          </w:rPr>
                          <w:t>I Dotación fundacional/Fondo social</w:t>
                        </w:r>
                      </w:p>
                    </w:tc>
                    <w:tc>
                      <w:tcPr>
                        <w:tcW w:w="5416" w:type="dxa"/>
                      </w:tcPr>
                      <w:p>
                        <w:pPr>
                          <w:pStyle w:val="TableParagraph"/>
                          <w:spacing w:before="13"/>
                          <w:ind w:right="1406"/>
                          <w:jc w:val="right"/>
                          <w:rPr>
                            <w:rFonts w:ascii="Arial"/>
                            <w:b/>
                            <w:sz w:val="30"/>
                          </w:rPr>
                        </w:pPr>
                        <w:r>
                          <w:rPr>
                            <w:rFonts w:ascii="Arial"/>
                            <w:b/>
                            <w:sz w:val="30"/>
                          </w:rPr>
                          <w:t>68.752,00</w:t>
                        </w:r>
                      </w:p>
                    </w:tc>
                    <w:tc>
                      <w:tcPr>
                        <w:tcW w:w="2964" w:type="dxa"/>
                      </w:tcPr>
                      <w:p>
                        <w:pPr>
                          <w:pStyle w:val="TableParagraph"/>
                          <w:spacing w:before="13"/>
                          <w:ind w:right="50"/>
                          <w:jc w:val="right"/>
                          <w:rPr>
                            <w:rFonts w:ascii="Arial"/>
                            <w:b/>
                            <w:sz w:val="30"/>
                          </w:rPr>
                        </w:pPr>
                        <w:r>
                          <w:rPr>
                            <w:rFonts w:ascii="Arial"/>
                            <w:b/>
                            <w:sz w:val="30"/>
                          </w:rPr>
                          <w:t>68.752,00</w:t>
                        </w:r>
                      </w:p>
                    </w:tc>
                  </w:tr>
                  <w:tr>
                    <w:trPr>
                      <w:trHeight w:val="384" w:hRule="atLeast"/>
                    </w:trPr>
                    <w:tc>
                      <w:tcPr>
                        <w:tcW w:w="9172" w:type="dxa"/>
                      </w:tcPr>
                      <w:p>
                        <w:pPr>
                          <w:pStyle w:val="TableParagraph"/>
                          <w:spacing w:line="325" w:lineRule="exact" w:before="39"/>
                          <w:ind w:left="801"/>
                          <w:rPr>
                            <w:rFonts w:ascii="Arial" w:hAnsi="Arial"/>
                            <w:sz w:val="30"/>
                          </w:rPr>
                        </w:pPr>
                        <w:r>
                          <w:rPr>
                            <w:rFonts w:ascii="Arial" w:hAnsi="Arial"/>
                            <w:sz w:val="30"/>
                          </w:rPr>
                          <w:t>1 Dotación fundacional/Fondo social</w:t>
                        </w:r>
                      </w:p>
                    </w:tc>
                    <w:tc>
                      <w:tcPr>
                        <w:tcW w:w="5416" w:type="dxa"/>
                      </w:tcPr>
                      <w:p>
                        <w:pPr>
                          <w:pStyle w:val="TableParagraph"/>
                          <w:spacing w:line="325" w:lineRule="exact" w:before="39"/>
                          <w:ind w:right="1406"/>
                          <w:jc w:val="right"/>
                          <w:rPr>
                            <w:rFonts w:ascii="Arial"/>
                            <w:sz w:val="30"/>
                          </w:rPr>
                        </w:pPr>
                        <w:r>
                          <w:rPr>
                            <w:rFonts w:ascii="Arial"/>
                            <w:sz w:val="30"/>
                          </w:rPr>
                          <w:t>68.752,00</w:t>
                        </w:r>
                      </w:p>
                    </w:tc>
                    <w:tc>
                      <w:tcPr>
                        <w:tcW w:w="2964" w:type="dxa"/>
                      </w:tcPr>
                      <w:p>
                        <w:pPr>
                          <w:pStyle w:val="TableParagraph"/>
                          <w:spacing w:line="325" w:lineRule="exact" w:before="39"/>
                          <w:ind w:right="50"/>
                          <w:jc w:val="right"/>
                          <w:rPr>
                            <w:rFonts w:ascii="Arial"/>
                            <w:sz w:val="30"/>
                          </w:rPr>
                        </w:pPr>
                        <w:r>
                          <w:rPr>
                            <w:rFonts w:ascii="Arial"/>
                            <w:sz w:val="30"/>
                          </w:rPr>
                          <w:t>68.752,00</w:t>
                        </w:r>
                      </w:p>
                    </w:tc>
                  </w:tr>
                  <w:tr>
                    <w:trPr>
                      <w:trHeight w:val="505" w:hRule="atLeast"/>
                    </w:trPr>
                    <w:tc>
                      <w:tcPr>
                        <w:tcW w:w="9172" w:type="dxa"/>
                      </w:tcPr>
                      <w:p>
                        <w:pPr>
                          <w:pStyle w:val="TableParagraph"/>
                          <w:spacing w:before="86"/>
                          <w:ind w:left="551"/>
                          <w:rPr>
                            <w:rFonts w:ascii="Arial"/>
                            <w:b/>
                            <w:sz w:val="30"/>
                          </w:rPr>
                        </w:pPr>
                        <w:r>
                          <w:rPr>
                            <w:rFonts w:ascii="Arial"/>
                            <w:b/>
                            <w:sz w:val="30"/>
                          </w:rPr>
                          <w:t>II</w:t>
                        </w:r>
                        <w:r>
                          <w:rPr>
                            <w:rFonts w:ascii="Arial"/>
                            <w:b/>
                            <w:spacing w:val="82"/>
                            <w:sz w:val="30"/>
                          </w:rPr>
                          <w:t> </w:t>
                        </w:r>
                        <w:r>
                          <w:rPr>
                            <w:rFonts w:ascii="Arial"/>
                            <w:b/>
                            <w:sz w:val="30"/>
                          </w:rPr>
                          <w:t>Reservas</w:t>
                        </w:r>
                      </w:p>
                    </w:tc>
                    <w:tc>
                      <w:tcPr>
                        <w:tcW w:w="5416" w:type="dxa"/>
                      </w:tcPr>
                      <w:p>
                        <w:pPr>
                          <w:pStyle w:val="TableParagraph"/>
                          <w:spacing w:before="86"/>
                          <w:ind w:right="1406"/>
                          <w:jc w:val="right"/>
                          <w:rPr>
                            <w:rFonts w:ascii="Arial"/>
                            <w:b/>
                            <w:sz w:val="30"/>
                          </w:rPr>
                        </w:pPr>
                        <w:r>
                          <w:rPr>
                            <w:rFonts w:ascii="Arial"/>
                            <w:b/>
                            <w:sz w:val="30"/>
                          </w:rPr>
                          <w:t>40.453,72</w:t>
                        </w:r>
                      </w:p>
                    </w:tc>
                    <w:tc>
                      <w:tcPr>
                        <w:tcW w:w="2964" w:type="dxa"/>
                      </w:tcPr>
                      <w:p>
                        <w:pPr>
                          <w:pStyle w:val="TableParagraph"/>
                          <w:spacing w:before="86"/>
                          <w:ind w:right="50"/>
                          <w:jc w:val="right"/>
                          <w:rPr>
                            <w:rFonts w:ascii="Arial"/>
                            <w:b/>
                            <w:sz w:val="30"/>
                          </w:rPr>
                        </w:pPr>
                        <w:r>
                          <w:rPr>
                            <w:rFonts w:ascii="Arial"/>
                            <w:b/>
                            <w:sz w:val="30"/>
                          </w:rPr>
                          <w:t>41.058,65</w:t>
                        </w:r>
                      </w:p>
                    </w:tc>
                  </w:tr>
                  <w:tr>
                    <w:trPr>
                      <w:trHeight w:val="405" w:hRule="atLeast"/>
                    </w:trPr>
                    <w:tc>
                      <w:tcPr>
                        <w:tcW w:w="9172" w:type="dxa"/>
                      </w:tcPr>
                      <w:p>
                        <w:pPr>
                          <w:pStyle w:val="TableParagraph"/>
                          <w:spacing w:before="13"/>
                          <w:ind w:left="551"/>
                          <w:rPr>
                            <w:rFonts w:ascii="Arial"/>
                            <w:b/>
                            <w:sz w:val="30"/>
                          </w:rPr>
                        </w:pPr>
                        <w:r>
                          <w:rPr>
                            <w:rFonts w:ascii="Arial"/>
                            <w:b/>
                            <w:sz w:val="30"/>
                          </w:rPr>
                          <w:t>III Excedentes ejercicios anteriores</w:t>
                        </w:r>
                      </w:p>
                    </w:tc>
                    <w:tc>
                      <w:tcPr>
                        <w:tcW w:w="5416" w:type="dxa"/>
                      </w:tcPr>
                      <w:p>
                        <w:pPr>
                          <w:pStyle w:val="TableParagraph"/>
                          <w:spacing w:before="13"/>
                          <w:ind w:right="1406"/>
                          <w:jc w:val="right"/>
                          <w:rPr>
                            <w:rFonts w:ascii="Arial"/>
                            <w:b/>
                            <w:sz w:val="30"/>
                          </w:rPr>
                        </w:pPr>
                        <w:r>
                          <w:rPr>
                            <w:rFonts w:ascii="Arial"/>
                            <w:b/>
                            <w:sz w:val="30"/>
                          </w:rPr>
                          <w:t>17.529,97</w:t>
                        </w:r>
                      </w:p>
                    </w:tc>
                    <w:tc>
                      <w:tcPr>
                        <w:tcW w:w="2964" w:type="dxa"/>
                      </w:tcPr>
                      <w:p>
                        <w:pPr>
                          <w:pStyle w:val="TableParagraph"/>
                          <w:spacing w:before="13"/>
                          <w:ind w:right="50"/>
                          <w:jc w:val="right"/>
                          <w:rPr>
                            <w:rFonts w:ascii="Arial"/>
                            <w:b/>
                            <w:sz w:val="30"/>
                          </w:rPr>
                        </w:pPr>
                        <w:r>
                          <w:rPr>
                            <w:rFonts w:ascii="Arial"/>
                            <w:b/>
                            <w:sz w:val="30"/>
                          </w:rPr>
                          <w:t>38.843,71</w:t>
                        </w:r>
                      </w:p>
                    </w:tc>
                  </w:tr>
                  <w:tr>
                    <w:trPr>
                      <w:trHeight w:val="431" w:hRule="atLeast"/>
                    </w:trPr>
                    <w:tc>
                      <w:tcPr>
                        <w:tcW w:w="9172" w:type="dxa"/>
                      </w:tcPr>
                      <w:p>
                        <w:pPr>
                          <w:pStyle w:val="TableParagraph"/>
                          <w:spacing w:before="39"/>
                          <w:ind w:left="551"/>
                          <w:rPr>
                            <w:rFonts w:ascii="Arial"/>
                            <w:b/>
                            <w:sz w:val="30"/>
                          </w:rPr>
                        </w:pPr>
                        <w:r>
                          <w:rPr>
                            <w:rFonts w:ascii="Arial"/>
                            <w:b/>
                            <w:sz w:val="30"/>
                          </w:rPr>
                          <w:t>IV Excedente del ejercicio</w:t>
                        </w:r>
                      </w:p>
                    </w:tc>
                    <w:tc>
                      <w:tcPr>
                        <w:tcW w:w="5416" w:type="dxa"/>
                      </w:tcPr>
                      <w:p>
                        <w:pPr>
                          <w:pStyle w:val="TableParagraph"/>
                          <w:spacing w:before="39"/>
                          <w:ind w:right="1406"/>
                          <w:jc w:val="right"/>
                          <w:rPr>
                            <w:rFonts w:ascii="Arial"/>
                            <w:b/>
                            <w:sz w:val="30"/>
                          </w:rPr>
                        </w:pPr>
                        <w:r>
                          <w:rPr>
                            <w:rFonts w:ascii="Arial"/>
                            <w:b/>
                            <w:sz w:val="30"/>
                          </w:rPr>
                          <w:t>25.439,68</w:t>
                        </w:r>
                      </w:p>
                    </w:tc>
                    <w:tc>
                      <w:tcPr>
                        <w:tcW w:w="2964" w:type="dxa"/>
                      </w:tcPr>
                      <w:p>
                        <w:pPr>
                          <w:pStyle w:val="TableParagraph"/>
                          <w:spacing w:before="39"/>
                          <w:ind w:right="47"/>
                          <w:jc w:val="right"/>
                          <w:rPr>
                            <w:rFonts w:ascii="Arial"/>
                            <w:b/>
                            <w:sz w:val="30"/>
                          </w:rPr>
                        </w:pPr>
                        <w:r>
                          <w:rPr>
                            <w:rFonts w:ascii="Arial"/>
                            <w:b/>
                            <w:sz w:val="30"/>
                          </w:rPr>
                          <w:t>-21.313,74</w:t>
                        </w:r>
                      </w:p>
                    </w:tc>
                  </w:tr>
                  <w:tr>
                    <w:trPr>
                      <w:trHeight w:val="384" w:hRule="atLeast"/>
                    </w:trPr>
                    <w:tc>
                      <w:tcPr>
                        <w:tcW w:w="9172" w:type="dxa"/>
                      </w:tcPr>
                      <w:p>
                        <w:pPr>
                          <w:pStyle w:val="TableParagraph"/>
                          <w:spacing w:line="325" w:lineRule="exact" w:before="39"/>
                          <w:ind w:left="300"/>
                          <w:rPr>
                            <w:rFonts w:ascii="Arial"/>
                            <w:b/>
                            <w:sz w:val="30"/>
                          </w:rPr>
                        </w:pPr>
                        <w:r>
                          <w:rPr>
                            <w:rFonts w:ascii="Arial"/>
                            <w:b/>
                            <w:sz w:val="30"/>
                          </w:rPr>
                          <w:t>A-3 Subv.donaciones y legados recibidos</w:t>
                        </w:r>
                      </w:p>
                    </w:tc>
                    <w:tc>
                      <w:tcPr>
                        <w:tcW w:w="5416" w:type="dxa"/>
                      </w:tcPr>
                      <w:p>
                        <w:pPr>
                          <w:pStyle w:val="TableParagraph"/>
                          <w:spacing w:line="325" w:lineRule="exact" w:before="39"/>
                          <w:ind w:right="1412"/>
                          <w:jc w:val="right"/>
                          <w:rPr>
                            <w:rFonts w:ascii="Arial"/>
                            <w:b/>
                            <w:sz w:val="30"/>
                          </w:rPr>
                        </w:pPr>
                        <w:r>
                          <w:rPr>
                            <w:rFonts w:ascii="Arial"/>
                            <w:b/>
                            <w:sz w:val="30"/>
                          </w:rPr>
                          <w:t>117,37</w:t>
                        </w:r>
                      </w:p>
                    </w:tc>
                    <w:tc>
                      <w:tcPr>
                        <w:tcW w:w="2964" w:type="dxa"/>
                      </w:tcPr>
                      <w:p>
                        <w:pPr>
                          <w:pStyle w:val="TableParagraph"/>
                          <w:spacing w:line="325" w:lineRule="exact" w:before="39"/>
                          <w:ind w:right="57"/>
                          <w:jc w:val="right"/>
                          <w:rPr>
                            <w:rFonts w:ascii="Arial"/>
                            <w:b/>
                            <w:sz w:val="30"/>
                          </w:rPr>
                        </w:pPr>
                        <w:r>
                          <w:rPr>
                            <w:rFonts w:ascii="Arial"/>
                            <w:b/>
                            <w:sz w:val="30"/>
                          </w:rPr>
                          <w:t>658,88</w:t>
                        </w:r>
                      </w:p>
                    </w:tc>
                  </w:tr>
                </w:tbl>
                <w:p>
                  <w:pPr>
                    <w:pStyle w:val="BodyText"/>
                  </w:pPr>
                </w:p>
              </w:txbxContent>
            </v:textbox>
            <w10:wrap type="none"/>
          </v:shape>
        </w:pict>
      </w:r>
      <w:r>
        <w:rPr>
          <w:rFonts w:ascii="Arial"/>
          <w:color w:val="FEFEFE"/>
          <w:w w:val="101"/>
          <w:sz w:val="37"/>
        </w:rPr>
        <w:t>.</w:t>
      </w:r>
    </w:p>
    <w:p>
      <w:pPr>
        <w:spacing w:before="6"/>
        <w:ind w:left="159" w:right="0" w:firstLine="0"/>
        <w:jc w:val="left"/>
        <w:rPr>
          <w:rFonts w:ascii="Arial"/>
          <w:sz w:val="37"/>
        </w:rPr>
      </w:pPr>
      <w:r>
        <w:rPr>
          <w:rFonts w:ascii="Arial"/>
          <w:color w:val="FEFEFE"/>
          <w:w w:val="101"/>
          <w:sz w:val="37"/>
        </w:rPr>
        <w:t>.</w:t>
      </w:r>
    </w:p>
    <w:p>
      <w:pPr>
        <w:spacing w:before="7"/>
        <w:ind w:left="159" w:right="0" w:firstLine="0"/>
        <w:jc w:val="left"/>
        <w:rPr>
          <w:rFonts w:ascii="Arial"/>
          <w:sz w:val="37"/>
        </w:rPr>
      </w:pPr>
      <w:r>
        <w:rPr>
          <w:rFonts w:ascii="Arial"/>
          <w:color w:val="FEFEFE"/>
          <w:w w:val="101"/>
          <w:sz w:val="37"/>
        </w:rPr>
        <w:t>.</w:t>
      </w:r>
    </w:p>
    <w:p>
      <w:pPr>
        <w:spacing w:before="6"/>
        <w:ind w:left="159" w:right="0" w:firstLine="0"/>
        <w:jc w:val="left"/>
        <w:rPr>
          <w:rFonts w:ascii="Arial"/>
          <w:sz w:val="37"/>
        </w:rPr>
      </w:pPr>
      <w:r>
        <w:rPr>
          <w:rFonts w:ascii="Arial"/>
          <w:color w:val="FEFEFE"/>
          <w:w w:val="101"/>
          <w:sz w:val="37"/>
        </w:rPr>
        <w:t>.</w:t>
      </w:r>
    </w:p>
    <w:p>
      <w:pPr>
        <w:spacing w:before="7"/>
        <w:ind w:left="159" w:right="0" w:firstLine="0"/>
        <w:jc w:val="left"/>
        <w:rPr>
          <w:rFonts w:ascii="Arial"/>
          <w:sz w:val="37"/>
        </w:rPr>
      </w:pPr>
      <w:r>
        <w:rPr>
          <w:rFonts w:ascii="Arial"/>
          <w:color w:val="FEFEFE"/>
          <w:w w:val="101"/>
          <w:sz w:val="37"/>
        </w:rPr>
        <w:t>.</w:t>
      </w:r>
    </w:p>
    <w:p>
      <w:pPr>
        <w:spacing w:before="7"/>
        <w:ind w:left="159" w:right="0" w:firstLine="0"/>
        <w:jc w:val="left"/>
        <w:rPr>
          <w:rFonts w:ascii="Arial"/>
          <w:sz w:val="37"/>
        </w:rPr>
      </w:pPr>
      <w:r>
        <w:rPr>
          <w:rFonts w:ascii="Arial"/>
          <w:color w:val="FEFEFE"/>
          <w:w w:val="101"/>
          <w:sz w:val="37"/>
        </w:rPr>
        <w:t>.</w:t>
      </w:r>
    </w:p>
    <w:p>
      <w:pPr>
        <w:spacing w:before="6"/>
        <w:ind w:left="159" w:right="0" w:firstLine="0"/>
        <w:jc w:val="left"/>
        <w:rPr>
          <w:rFonts w:ascii="Arial"/>
          <w:sz w:val="37"/>
        </w:rPr>
      </w:pPr>
      <w:r>
        <w:rPr>
          <w:rFonts w:ascii="Arial"/>
          <w:color w:val="FEFEFE"/>
          <w:w w:val="101"/>
          <w:sz w:val="37"/>
        </w:rPr>
        <w:t>.</w:t>
      </w:r>
    </w:p>
    <w:p>
      <w:pPr>
        <w:spacing w:before="7"/>
        <w:ind w:left="159" w:right="0" w:firstLine="0"/>
        <w:jc w:val="left"/>
        <w:rPr>
          <w:rFonts w:ascii="Arial"/>
          <w:sz w:val="37"/>
        </w:rPr>
      </w:pPr>
      <w:r>
        <w:rPr>
          <w:rFonts w:ascii="Arial"/>
          <w:color w:val="FEFEFE"/>
          <w:w w:val="101"/>
          <w:sz w:val="37"/>
        </w:rPr>
        <w:t>.</w:t>
      </w:r>
    </w:p>
    <w:p>
      <w:pPr>
        <w:spacing w:before="6"/>
        <w:ind w:left="159" w:right="0" w:firstLine="0"/>
        <w:jc w:val="left"/>
        <w:rPr>
          <w:rFonts w:ascii="Arial"/>
          <w:sz w:val="37"/>
        </w:rPr>
      </w:pPr>
      <w:r>
        <w:rPr>
          <w:rFonts w:ascii="Arial"/>
          <w:color w:val="FEFEFE"/>
          <w:w w:val="101"/>
          <w:sz w:val="37"/>
        </w:rPr>
        <w:t>.</w:t>
      </w:r>
    </w:p>
    <w:p>
      <w:pPr>
        <w:spacing w:before="7"/>
        <w:ind w:left="159" w:right="0" w:firstLine="0"/>
        <w:jc w:val="left"/>
        <w:rPr>
          <w:rFonts w:ascii="Arial"/>
          <w:sz w:val="37"/>
        </w:rPr>
      </w:pPr>
      <w:r>
        <w:rPr>
          <w:rFonts w:ascii="Arial"/>
          <w:color w:val="FEFEFE"/>
          <w:w w:val="101"/>
          <w:sz w:val="37"/>
        </w:rPr>
        <w:t>.</w:t>
      </w:r>
    </w:p>
    <w:p>
      <w:pPr>
        <w:spacing w:before="6"/>
        <w:ind w:left="159" w:right="0" w:firstLine="0"/>
        <w:jc w:val="left"/>
        <w:rPr>
          <w:rFonts w:ascii="Arial"/>
          <w:sz w:val="37"/>
        </w:rPr>
      </w:pPr>
      <w:r>
        <w:rPr>
          <w:rFonts w:ascii="Arial"/>
          <w:color w:val="FEFEFE"/>
          <w:w w:val="101"/>
          <w:sz w:val="37"/>
        </w:rPr>
        <w:t>.</w:t>
      </w:r>
    </w:p>
    <w:p>
      <w:pPr>
        <w:spacing w:before="7"/>
        <w:ind w:left="159" w:right="0" w:firstLine="0"/>
        <w:jc w:val="left"/>
        <w:rPr>
          <w:rFonts w:ascii="Arial"/>
          <w:sz w:val="37"/>
        </w:rPr>
      </w:pPr>
      <w:r>
        <w:rPr>
          <w:rFonts w:ascii="Arial"/>
          <w:color w:val="FEFEFE"/>
          <w:w w:val="101"/>
          <w:sz w:val="37"/>
        </w:rPr>
        <w:t>.</w:t>
      </w:r>
    </w:p>
    <w:p>
      <w:pPr>
        <w:spacing w:before="6"/>
        <w:ind w:left="159" w:right="0" w:firstLine="0"/>
        <w:jc w:val="left"/>
        <w:rPr>
          <w:rFonts w:ascii="Arial"/>
          <w:sz w:val="37"/>
        </w:rPr>
      </w:pPr>
      <w:r>
        <w:rPr>
          <w:rFonts w:ascii="Arial"/>
          <w:color w:val="FEFEFE"/>
          <w:w w:val="101"/>
          <w:sz w:val="37"/>
        </w:rPr>
        <w:t>.</w:t>
      </w:r>
    </w:p>
    <w:p>
      <w:pPr>
        <w:spacing w:before="7"/>
        <w:ind w:left="159" w:right="0" w:firstLine="0"/>
        <w:jc w:val="left"/>
        <w:rPr>
          <w:rFonts w:ascii="Arial"/>
          <w:sz w:val="37"/>
        </w:rPr>
      </w:pPr>
      <w:r>
        <w:rPr>
          <w:rFonts w:ascii="Arial"/>
          <w:color w:val="FEFEFE"/>
          <w:w w:val="101"/>
          <w:sz w:val="37"/>
        </w:rPr>
        <w:t>.</w:t>
      </w:r>
    </w:p>
    <w:p>
      <w:pPr>
        <w:spacing w:before="6"/>
        <w:ind w:left="159" w:right="0" w:firstLine="0"/>
        <w:jc w:val="left"/>
        <w:rPr>
          <w:rFonts w:ascii="Arial"/>
          <w:sz w:val="37"/>
        </w:rPr>
      </w:pPr>
      <w:r>
        <w:rPr>
          <w:rFonts w:ascii="Arial"/>
          <w:color w:val="FEFEFE"/>
          <w:w w:val="101"/>
          <w:sz w:val="37"/>
        </w:rPr>
        <w:t>.</w:t>
      </w:r>
    </w:p>
    <w:p>
      <w:pPr>
        <w:spacing w:before="7"/>
        <w:ind w:left="159" w:right="0" w:firstLine="0"/>
        <w:jc w:val="left"/>
        <w:rPr>
          <w:rFonts w:ascii="Arial"/>
          <w:sz w:val="37"/>
        </w:rPr>
      </w:pPr>
      <w:r>
        <w:rPr>
          <w:rFonts w:ascii="Arial"/>
          <w:color w:val="FEFEFE"/>
          <w:w w:val="101"/>
          <w:sz w:val="37"/>
        </w:rPr>
        <w:t>.</w:t>
      </w:r>
    </w:p>
    <w:p>
      <w:pPr>
        <w:spacing w:before="6"/>
        <w:ind w:left="159" w:right="0" w:firstLine="0"/>
        <w:jc w:val="left"/>
        <w:rPr>
          <w:rFonts w:ascii="Arial"/>
          <w:sz w:val="37"/>
        </w:rPr>
      </w:pPr>
      <w:r>
        <w:rPr>
          <w:rFonts w:ascii="Arial"/>
          <w:color w:val="FEFEFE"/>
          <w:w w:val="101"/>
          <w:sz w:val="37"/>
        </w:rPr>
        <w:t>.</w:t>
      </w:r>
    </w:p>
    <w:p>
      <w:pPr>
        <w:spacing w:before="7"/>
        <w:ind w:left="159" w:right="0" w:firstLine="0"/>
        <w:jc w:val="left"/>
        <w:rPr>
          <w:rFonts w:ascii="Arial"/>
          <w:sz w:val="37"/>
        </w:rPr>
      </w:pPr>
      <w:r>
        <w:rPr>
          <w:rFonts w:ascii="Arial"/>
          <w:color w:val="FEFEFE"/>
          <w:w w:val="101"/>
          <w:sz w:val="37"/>
        </w:rPr>
        <w:t>.</w:t>
      </w:r>
    </w:p>
    <w:p>
      <w:pPr>
        <w:spacing w:before="6"/>
        <w:ind w:left="159" w:right="0" w:firstLine="0"/>
        <w:jc w:val="left"/>
        <w:rPr>
          <w:rFonts w:ascii="Arial"/>
          <w:sz w:val="37"/>
        </w:rPr>
      </w:pPr>
      <w:r>
        <w:rPr>
          <w:rFonts w:ascii="Arial"/>
          <w:color w:val="FEFEFE"/>
          <w:w w:val="101"/>
          <w:sz w:val="37"/>
        </w:rPr>
        <w:t>.</w:t>
      </w:r>
    </w:p>
    <w:p>
      <w:pPr>
        <w:tabs>
          <w:tab w:pos="517" w:val="left" w:leader="none"/>
        </w:tabs>
        <w:spacing w:before="8"/>
        <w:ind w:left="159" w:right="0" w:firstLine="0"/>
        <w:jc w:val="left"/>
        <w:rPr>
          <w:rFonts w:ascii="Arial"/>
          <w:b/>
          <w:sz w:val="30"/>
        </w:rPr>
      </w:pPr>
      <w:r>
        <w:rPr>
          <w:rFonts w:ascii="Arial"/>
          <w:color w:val="FEFEFE"/>
          <w:position w:val="-5"/>
          <w:sz w:val="37"/>
        </w:rPr>
        <w:t>.</w:t>
        <w:tab/>
      </w:r>
      <w:r>
        <w:rPr>
          <w:rFonts w:ascii="Arial"/>
          <w:b/>
          <w:sz w:val="30"/>
        </w:rPr>
        <w:t>C PASIVO</w:t>
      </w:r>
      <w:r>
        <w:rPr>
          <w:rFonts w:ascii="Arial"/>
          <w:b/>
          <w:spacing w:val="-1"/>
          <w:sz w:val="30"/>
        </w:rPr>
        <w:t> </w:t>
      </w:r>
      <w:r>
        <w:rPr>
          <w:rFonts w:ascii="Arial"/>
          <w:b/>
          <w:sz w:val="30"/>
        </w:rPr>
        <w:t>CORRIENTE</w:t>
      </w:r>
    </w:p>
    <w:p>
      <w:pPr>
        <w:tabs>
          <w:tab w:pos="768" w:val="left" w:leader="none"/>
        </w:tabs>
        <w:spacing w:before="7"/>
        <w:ind w:left="159" w:right="0" w:firstLine="0"/>
        <w:jc w:val="left"/>
        <w:rPr>
          <w:rFonts w:ascii="Arial"/>
          <w:b/>
          <w:sz w:val="30"/>
        </w:rPr>
      </w:pPr>
      <w:r>
        <w:rPr>
          <w:rFonts w:ascii="Arial"/>
          <w:color w:val="FEFEFE"/>
          <w:position w:val="-5"/>
          <w:sz w:val="37"/>
        </w:rPr>
        <w:t>.</w:t>
        <w:tab/>
      </w:r>
      <w:r>
        <w:rPr>
          <w:rFonts w:ascii="Arial"/>
          <w:b/>
          <w:sz w:val="30"/>
        </w:rPr>
        <w:t>III Deudas a corto plazo</w:t>
      </w:r>
    </w:p>
    <w:p>
      <w:pPr>
        <w:tabs>
          <w:tab w:pos="1018" w:val="left" w:leader="none"/>
        </w:tabs>
        <w:spacing w:before="6"/>
        <w:ind w:left="159" w:right="0" w:firstLine="0"/>
        <w:jc w:val="left"/>
        <w:rPr>
          <w:rFonts w:ascii="Arial"/>
          <w:sz w:val="30"/>
        </w:rPr>
      </w:pPr>
      <w:r>
        <w:rPr>
          <w:rFonts w:ascii="Arial"/>
          <w:color w:val="FEFEFE"/>
          <w:position w:val="-5"/>
          <w:sz w:val="37"/>
        </w:rPr>
        <w:t>.</w:t>
        <w:tab/>
      </w:r>
      <w:r>
        <w:rPr>
          <w:rFonts w:ascii="Arial"/>
          <w:sz w:val="30"/>
        </w:rPr>
        <w:t>3 Otras deudas a corto</w:t>
      </w:r>
      <w:r>
        <w:rPr>
          <w:rFonts w:ascii="Arial"/>
          <w:spacing w:val="1"/>
          <w:sz w:val="30"/>
        </w:rPr>
        <w:t> </w:t>
      </w:r>
      <w:r>
        <w:rPr>
          <w:rFonts w:ascii="Arial"/>
          <w:sz w:val="30"/>
        </w:rPr>
        <w:t>plazo</w:t>
      </w:r>
    </w:p>
    <w:p>
      <w:pPr>
        <w:tabs>
          <w:tab w:pos="768" w:val="left" w:leader="none"/>
        </w:tabs>
        <w:spacing w:before="7"/>
        <w:ind w:left="159" w:right="0" w:firstLine="0"/>
        <w:jc w:val="left"/>
        <w:rPr>
          <w:rFonts w:ascii="Arial"/>
          <w:b/>
          <w:sz w:val="30"/>
        </w:rPr>
      </w:pPr>
      <w:r>
        <w:rPr>
          <w:rFonts w:ascii="Arial"/>
          <w:color w:val="FEFEFE"/>
          <w:position w:val="-5"/>
          <w:sz w:val="37"/>
        </w:rPr>
        <w:t>.</w:t>
        <w:tab/>
      </w:r>
      <w:r>
        <w:rPr>
          <w:rFonts w:ascii="Arial"/>
          <w:b/>
          <w:sz w:val="30"/>
        </w:rPr>
        <w:t>VI Acreedores comerc. y otras ctas.a</w:t>
      </w:r>
      <w:r>
        <w:rPr>
          <w:rFonts w:ascii="Arial"/>
          <w:b/>
          <w:spacing w:val="14"/>
          <w:sz w:val="30"/>
        </w:rPr>
        <w:t> </w:t>
      </w:r>
      <w:r>
        <w:rPr>
          <w:rFonts w:ascii="Arial"/>
          <w:b/>
          <w:sz w:val="30"/>
        </w:rPr>
        <w:t>pagar</w:t>
      </w:r>
    </w:p>
    <w:p>
      <w:pPr>
        <w:tabs>
          <w:tab w:pos="1018" w:val="left" w:leader="none"/>
        </w:tabs>
        <w:spacing w:before="6"/>
        <w:ind w:left="159" w:right="0" w:firstLine="0"/>
        <w:jc w:val="left"/>
        <w:rPr>
          <w:rFonts w:ascii="Arial"/>
          <w:sz w:val="30"/>
        </w:rPr>
      </w:pPr>
      <w:r>
        <w:rPr>
          <w:rFonts w:ascii="Arial"/>
          <w:color w:val="FEFEFE"/>
          <w:position w:val="-5"/>
          <w:sz w:val="37"/>
        </w:rPr>
        <w:t>.</w:t>
        <w:tab/>
      </w:r>
      <w:r>
        <w:rPr>
          <w:rFonts w:ascii="Arial"/>
          <w:sz w:val="30"/>
        </w:rPr>
        <w:t>2 Otros</w:t>
      </w:r>
      <w:r>
        <w:rPr>
          <w:rFonts w:ascii="Arial"/>
          <w:spacing w:val="-1"/>
          <w:sz w:val="30"/>
        </w:rPr>
        <w:t> </w:t>
      </w:r>
      <w:r>
        <w:rPr>
          <w:rFonts w:ascii="Arial"/>
          <w:sz w:val="30"/>
        </w:rPr>
        <w:t>acreedores</w:t>
      </w:r>
    </w:p>
    <w:p>
      <w:pPr>
        <w:tabs>
          <w:tab w:pos="768" w:val="left" w:leader="none"/>
        </w:tabs>
        <w:spacing w:before="7"/>
        <w:ind w:left="159" w:right="0" w:firstLine="0"/>
        <w:jc w:val="left"/>
        <w:rPr>
          <w:rFonts w:ascii="Arial"/>
          <w:sz w:val="30"/>
        </w:rPr>
      </w:pPr>
      <w:r>
        <w:rPr>
          <w:rFonts w:ascii="Arial"/>
          <w:color w:val="FEFEFE"/>
          <w:position w:val="-5"/>
          <w:sz w:val="37"/>
        </w:rPr>
        <w:t>.</w:t>
        <w:tab/>
      </w:r>
      <w:r>
        <w:rPr>
          <w:rFonts w:ascii="Arial"/>
          <w:sz w:val="30"/>
        </w:rPr>
        <w:t>VII Periodificaciones a corto</w:t>
      </w:r>
      <w:r>
        <w:rPr>
          <w:rFonts w:ascii="Arial"/>
          <w:spacing w:val="-2"/>
          <w:sz w:val="30"/>
        </w:rPr>
        <w:t> </w:t>
      </w:r>
      <w:r>
        <w:rPr>
          <w:rFonts w:ascii="Arial"/>
          <w:sz w:val="30"/>
        </w:rPr>
        <w:t>plazo</w:t>
      </w:r>
    </w:p>
    <w:p>
      <w:pPr>
        <w:spacing w:before="5"/>
        <w:ind w:left="159" w:right="0" w:firstLine="0"/>
        <w:jc w:val="left"/>
        <w:rPr>
          <w:rFonts w:ascii="Arial"/>
          <w:sz w:val="37"/>
        </w:rPr>
      </w:pPr>
      <w:r>
        <w:rPr/>
        <w:pict>
          <v:shape style="position:absolute;margin-left:82.380196pt;margin-top:1.037083pt;width:877.65pt;height:60.05pt;mso-position-horizontal-relative:page;mso-position-vertical-relative:paragraph;z-index:25167872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96"/>
                    <w:gridCol w:w="6393"/>
                    <w:gridCol w:w="2965"/>
                  </w:tblGrid>
                  <w:tr>
                    <w:trPr>
                      <w:trHeight w:val="384" w:hRule="atLeast"/>
                    </w:trPr>
                    <w:tc>
                      <w:tcPr>
                        <w:tcW w:w="8196" w:type="dxa"/>
                      </w:tcPr>
                      <w:p>
                        <w:pPr>
                          <w:pStyle w:val="TableParagraph"/>
                          <w:spacing w:line="337" w:lineRule="exact" w:before="0"/>
                          <w:ind w:left="50"/>
                          <w:rPr>
                            <w:rFonts w:ascii="Arial"/>
                            <w:sz w:val="30"/>
                          </w:rPr>
                        </w:pPr>
                        <w:r>
                          <w:rPr>
                            <w:rFonts w:ascii="Arial"/>
                            <w:w w:val="100"/>
                            <w:sz w:val="30"/>
                          </w:rPr>
                          <w:t>,</w:t>
                        </w:r>
                      </w:p>
                    </w:tc>
                    <w:tc>
                      <w:tcPr>
                        <w:tcW w:w="9358" w:type="dxa"/>
                        <w:gridSpan w:val="2"/>
                      </w:tcPr>
                      <w:p>
                        <w:pPr>
                          <w:pStyle w:val="TableParagraph"/>
                          <w:spacing w:before="0"/>
                          <w:rPr>
                            <w:rFonts w:ascii="Times New Roman"/>
                            <w:sz w:val="28"/>
                          </w:rPr>
                        </w:pPr>
                      </w:p>
                    </w:tc>
                  </w:tr>
                  <w:tr>
                    <w:trPr>
                      <w:trHeight w:val="431" w:hRule="atLeast"/>
                    </w:trPr>
                    <w:tc>
                      <w:tcPr>
                        <w:tcW w:w="8196" w:type="dxa"/>
                      </w:tcPr>
                      <w:p>
                        <w:pPr>
                          <w:pStyle w:val="TableParagraph"/>
                          <w:spacing w:before="39"/>
                          <w:ind w:left="50"/>
                          <w:rPr>
                            <w:rFonts w:ascii="Arial"/>
                            <w:b/>
                            <w:i/>
                            <w:sz w:val="30"/>
                          </w:rPr>
                        </w:pPr>
                        <w:r>
                          <w:rPr>
                            <w:rFonts w:ascii="Arial"/>
                            <w:b/>
                            <w:i/>
                            <w:sz w:val="30"/>
                          </w:rPr>
                          <w:t>=== TOTAL PASIVO</w:t>
                        </w:r>
                      </w:p>
                    </w:tc>
                    <w:tc>
                      <w:tcPr>
                        <w:tcW w:w="6393" w:type="dxa"/>
                      </w:tcPr>
                      <w:p>
                        <w:pPr>
                          <w:pStyle w:val="TableParagraph"/>
                          <w:spacing w:before="39"/>
                          <w:ind w:right="1404"/>
                          <w:jc w:val="right"/>
                          <w:rPr>
                            <w:rFonts w:ascii="Arial"/>
                            <w:b/>
                            <w:i/>
                            <w:sz w:val="30"/>
                          </w:rPr>
                        </w:pPr>
                        <w:r>
                          <w:rPr>
                            <w:rFonts w:ascii="Arial"/>
                            <w:b/>
                            <w:i/>
                            <w:sz w:val="30"/>
                          </w:rPr>
                          <w:t>256.832,50</w:t>
                        </w:r>
                      </w:p>
                    </w:tc>
                    <w:tc>
                      <w:tcPr>
                        <w:tcW w:w="2965" w:type="dxa"/>
                      </w:tcPr>
                      <w:p>
                        <w:pPr>
                          <w:pStyle w:val="TableParagraph"/>
                          <w:spacing w:before="39"/>
                          <w:ind w:right="49"/>
                          <w:jc w:val="right"/>
                          <w:rPr>
                            <w:rFonts w:ascii="Arial"/>
                            <w:b/>
                            <w:i/>
                            <w:sz w:val="30"/>
                          </w:rPr>
                        </w:pPr>
                        <w:r>
                          <w:rPr>
                            <w:rFonts w:ascii="Arial"/>
                            <w:b/>
                            <w:i/>
                            <w:sz w:val="30"/>
                          </w:rPr>
                          <w:t>213.385,95</w:t>
                        </w:r>
                      </w:p>
                    </w:tc>
                  </w:tr>
                  <w:tr>
                    <w:trPr>
                      <w:trHeight w:val="384" w:hRule="atLeast"/>
                    </w:trPr>
                    <w:tc>
                      <w:tcPr>
                        <w:tcW w:w="8196" w:type="dxa"/>
                      </w:tcPr>
                      <w:p>
                        <w:pPr>
                          <w:pStyle w:val="TableParagraph"/>
                          <w:spacing w:line="325" w:lineRule="exact" w:before="39"/>
                          <w:ind w:left="50"/>
                          <w:rPr>
                            <w:rFonts w:ascii="Arial"/>
                            <w:b/>
                            <w:i/>
                            <w:sz w:val="30"/>
                          </w:rPr>
                        </w:pPr>
                        <w:r>
                          <w:rPr>
                            <w:rFonts w:ascii="Arial"/>
                            <w:b/>
                            <w:i/>
                            <w:sz w:val="30"/>
                          </w:rPr>
                          <w:t>=== TOTAL FINAL .......................</w:t>
                        </w:r>
                      </w:p>
                    </w:tc>
                    <w:tc>
                      <w:tcPr>
                        <w:tcW w:w="6393" w:type="dxa"/>
                      </w:tcPr>
                      <w:p>
                        <w:pPr>
                          <w:pStyle w:val="TableParagraph"/>
                          <w:spacing w:line="325" w:lineRule="exact" w:before="39"/>
                          <w:ind w:right="1404"/>
                          <w:jc w:val="right"/>
                          <w:rPr>
                            <w:rFonts w:ascii="Arial"/>
                            <w:b/>
                            <w:i/>
                            <w:sz w:val="30"/>
                          </w:rPr>
                        </w:pPr>
                        <w:r>
                          <w:rPr>
                            <w:rFonts w:ascii="Arial"/>
                            <w:b/>
                            <w:i/>
                            <w:sz w:val="30"/>
                          </w:rPr>
                          <w:t>256.832,50</w:t>
                        </w:r>
                      </w:p>
                    </w:tc>
                    <w:tc>
                      <w:tcPr>
                        <w:tcW w:w="2965" w:type="dxa"/>
                      </w:tcPr>
                      <w:p>
                        <w:pPr>
                          <w:pStyle w:val="TableParagraph"/>
                          <w:spacing w:line="325" w:lineRule="exact" w:before="39"/>
                          <w:ind w:right="49"/>
                          <w:jc w:val="right"/>
                          <w:rPr>
                            <w:rFonts w:ascii="Arial"/>
                            <w:b/>
                            <w:i/>
                            <w:sz w:val="30"/>
                          </w:rPr>
                        </w:pPr>
                        <w:r>
                          <w:rPr>
                            <w:rFonts w:ascii="Arial"/>
                            <w:b/>
                            <w:i/>
                            <w:sz w:val="30"/>
                          </w:rPr>
                          <w:t>213.385,95</w:t>
                        </w:r>
                      </w:p>
                    </w:tc>
                  </w:tr>
                </w:tbl>
                <w:p>
                  <w:pPr>
                    <w:pStyle w:val="BodyText"/>
                  </w:pPr>
                </w:p>
              </w:txbxContent>
            </v:textbox>
            <w10:wrap type="none"/>
          </v:shape>
        </w:pict>
      </w:r>
      <w:r>
        <w:rPr>
          <w:rFonts w:ascii="Arial"/>
          <w:color w:val="FEFEFE"/>
          <w:w w:val="101"/>
          <w:sz w:val="37"/>
        </w:rPr>
        <w:t>.</w:t>
      </w:r>
    </w:p>
    <w:p>
      <w:pPr>
        <w:spacing w:before="6"/>
        <w:ind w:left="159" w:right="0" w:firstLine="0"/>
        <w:jc w:val="left"/>
        <w:rPr>
          <w:rFonts w:ascii="Arial"/>
          <w:sz w:val="37"/>
        </w:rPr>
      </w:pPr>
      <w:r>
        <w:rPr>
          <w:rFonts w:ascii="Arial"/>
          <w:color w:val="FEFEFE"/>
          <w:w w:val="101"/>
          <w:sz w:val="37"/>
        </w:rPr>
        <w:t>.</w:t>
      </w:r>
    </w:p>
    <w:p>
      <w:pPr>
        <w:spacing w:before="7"/>
        <w:ind w:left="159" w:right="0" w:firstLine="0"/>
        <w:jc w:val="left"/>
        <w:rPr>
          <w:rFonts w:ascii="Arial"/>
          <w:sz w:val="37"/>
        </w:rPr>
      </w:pPr>
      <w:r>
        <w:rPr>
          <w:rFonts w:ascii="Arial"/>
          <w:color w:val="FEFEFE"/>
          <w:w w:val="101"/>
          <w:sz w:val="37"/>
        </w:rPr>
        <w:t>.</w:t>
      </w:r>
    </w:p>
    <w:p>
      <w:pPr>
        <w:tabs>
          <w:tab w:pos="4319" w:val="left" w:leader="none"/>
        </w:tabs>
        <w:spacing w:before="12"/>
        <w:ind w:left="0" w:right="163" w:firstLine="0"/>
        <w:jc w:val="right"/>
        <w:rPr>
          <w:rFonts w:ascii="Arial"/>
          <w:b/>
          <w:sz w:val="30"/>
        </w:rPr>
      </w:pPr>
      <w:r>
        <w:rPr/>
        <w:br w:type="column"/>
      </w:r>
      <w:r>
        <w:rPr>
          <w:rFonts w:ascii="Arial"/>
          <w:b/>
          <w:sz w:val="30"/>
        </w:rPr>
        <w:t>31.241,29</w:t>
        <w:tab/>
        <w:t>30.649,70</w:t>
      </w: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rPr>
          <w:rFonts w:ascii="Arial"/>
          <w:b/>
          <w:sz w:val="34"/>
        </w:rPr>
      </w:pPr>
    </w:p>
    <w:p>
      <w:pPr>
        <w:pStyle w:val="BodyText"/>
        <w:spacing w:before="3"/>
        <w:rPr>
          <w:rFonts w:ascii="Arial"/>
          <w:b/>
          <w:sz w:val="41"/>
        </w:rPr>
      </w:pPr>
    </w:p>
    <w:p>
      <w:pPr>
        <w:tabs>
          <w:tab w:pos="4484" w:val="left" w:leader="none"/>
        </w:tabs>
        <w:spacing w:before="1"/>
        <w:ind w:left="0" w:right="163" w:firstLine="0"/>
        <w:jc w:val="right"/>
        <w:rPr>
          <w:rFonts w:ascii="Arial"/>
          <w:b/>
          <w:sz w:val="30"/>
        </w:rPr>
      </w:pPr>
      <w:r>
        <w:rPr>
          <w:rFonts w:ascii="Arial"/>
          <w:b/>
          <w:sz w:val="30"/>
        </w:rPr>
        <w:t>104.539,76</w:t>
        <w:tab/>
        <w:t>85.386,45</w:t>
      </w:r>
    </w:p>
    <w:p>
      <w:pPr>
        <w:tabs>
          <w:tab w:pos="4319" w:val="left" w:leader="none"/>
        </w:tabs>
        <w:spacing w:before="87"/>
        <w:ind w:left="0" w:right="166" w:firstLine="0"/>
        <w:jc w:val="right"/>
        <w:rPr>
          <w:rFonts w:ascii="Arial"/>
          <w:b/>
          <w:sz w:val="30"/>
        </w:rPr>
      </w:pPr>
      <w:r>
        <w:rPr>
          <w:rFonts w:ascii="Arial"/>
          <w:b/>
          <w:sz w:val="30"/>
        </w:rPr>
        <w:t>8.250,00</w:t>
        <w:tab/>
        <w:t>8.250,00</w:t>
      </w:r>
    </w:p>
    <w:p>
      <w:pPr>
        <w:tabs>
          <w:tab w:pos="4319" w:val="left" w:leader="none"/>
        </w:tabs>
        <w:spacing w:before="87"/>
        <w:ind w:left="0" w:right="166" w:firstLine="0"/>
        <w:jc w:val="right"/>
        <w:rPr>
          <w:rFonts w:ascii="Arial"/>
          <w:sz w:val="30"/>
        </w:rPr>
      </w:pPr>
      <w:r>
        <w:rPr>
          <w:rFonts w:ascii="Arial"/>
          <w:sz w:val="30"/>
        </w:rPr>
        <w:t>8.250,00</w:t>
        <w:tab/>
        <w:t>8.250,00</w:t>
      </w:r>
    </w:p>
    <w:p>
      <w:pPr>
        <w:tabs>
          <w:tab w:pos="4319" w:val="left" w:leader="none"/>
        </w:tabs>
        <w:spacing w:before="87"/>
        <w:ind w:left="0" w:right="163" w:firstLine="0"/>
        <w:jc w:val="right"/>
        <w:rPr>
          <w:rFonts w:ascii="Arial"/>
          <w:b/>
          <w:sz w:val="30"/>
        </w:rPr>
      </w:pPr>
      <w:r>
        <w:rPr>
          <w:rFonts w:ascii="Arial"/>
          <w:b/>
          <w:sz w:val="30"/>
        </w:rPr>
        <w:t>26.107,14</w:t>
        <w:tab/>
        <w:t>15.323,41</w:t>
      </w:r>
    </w:p>
    <w:p>
      <w:pPr>
        <w:tabs>
          <w:tab w:pos="4319" w:val="left" w:leader="none"/>
        </w:tabs>
        <w:spacing w:before="87"/>
        <w:ind w:left="0" w:right="163" w:firstLine="0"/>
        <w:jc w:val="right"/>
        <w:rPr>
          <w:rFonts w:ascii="Arial"/>
          <w:sz w:val="30"/>
        </w:rPr>
      </w:pPr>
      <w:r>
        <w:rPr>
          <w:rFonts w:ascii="Arial"/>
          <w:sz w:val="30"/>
        </w:rPr>
        <w:t>26.107,14</w:t>
        <w:tab/>
        <w:t>15.323,41</w:t>
      </w:r>
    </w:p>
    <w:p>
      <w:pPr>
        <w:tabs>
          <w:tab w:pos="4319" w:val="left" w:leader="none"/>
        </w:tabs>
        <w:spacing w:before="87"/>
        <w:ind w:left="0" w:right="163" w:firstLine="0"/>
        <w:jc w:val="right"/>
        <w:rPr>
          <w:rFonts w:ascii="Arial"/>
          <w:sz w:val="30"/>
        </w:rPr>
      </w:pPr>
      <w:r>
        <w:rPr>
          <w:rFonts w:ascii="Arial"/>
          <w:sz w:val="30"/>
        </w:rPr>
        <w:t>70.182,62</w:t>
        <w:tab/>
        <w:t>61.813,04</w:t>
      </w:r>
    </w:p>
    <w:p>
      <w:pPr>
        <w:spacing w:after="0"/>
        <w:jc w:val="right"/>
        <w:rPr>
          <w:rFonts w:ascii="Arial"/>
          <w:sz w:val="30"/>
        </w:rPr>
        <w:sectPr>
          <w:type w:val="continuous"/>
          <w:pgSz w:w="22420" w:h="31660"/>
          <w:pgMar w:top="420" w:bottom="280" w:left="1180" w:right="3100"/>
          <w:cols w:num="2" w:equalWidth="0">
            <w:col w:w="7068" w:space="4915"/>
            <w:col w:w="6157"/>
          </w:cols>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7"/>
        <w:rPr>
          <w:rFonts w:ascii="Arial"/>
          <w:sz w:val="28"/>
        </w:rPr>
      </w:pPr>
    </w:p>
    <w:p>
      <w:pPr>
        <w:spacing w:before="20"/>
        <w:ind w:left="121" w:right="1032" w:firstLine="0"/>
        <w:jc w:val="both"/>
        <w:rPr>
          <w:b/>
          <w:sz w:val="40"/>
        </w:rPr>
      </w:pPr>
      <w:r>
        <w:rPr>
          <w:b/>
          <w:sz w:val="40"/>
        </w:rPr>
        <w:t>FUNDACION CANARIA PARA LA PROMOCION  </w:t>
      </w:r>
      <w:r>
        <w:rPr>
          <w:b/>
          <w:spacing w:val="-3"/>
          <w:sz w:val="40"/>
        </w:rPr>
        <w:t>DE </w:t>
      </w:r>
      <w:r>
        <w:rPr>
          <w:b/>
          <w:sz w:val="40"/>
        </w:rPr>
        <w:t>LA CULTURA MUSICAL Y LAS ARTES EN EL NORTE DE</w:t>
      </w:r>
      <w:r>
        <w:rPr>
          <w:b/>
          <w:spacing w:val="1"/>
          <w:sz w:val="40"/>
        </w:rPr>
        <w:t> </w:t>
      </w:r>
      <w:r>
        <w:rPr>
          <w:b/>
          <w:sz w:val="40"/>
        </w:rPr>
        <w:t>TENERIFE</w:t>
      </w:r>
    </w:p>
    <w:p>
      <w:pPr>
        <w:pStyle w:val="BodyText"/>
        <w:rPr>
          <w:b/>
          <w:sz w:val="40"/>
        </w:rPr>
      </w:pPr>
    </w:p>
    <w:p>
      <w:pPr>
        <w:pStyle w:val="BodyText"/>
        <w:rPr>
          <w:b/>
          <w:sz w:val="40"/>
        </w:rPr>
      </w:pPr>
    </w:p>
    <w:p>
      <w:pPr>
        <w:pStyle w:val="BodyText"/>
        <w:rPr>
          <w:b/>
          <w:sz w:val="40"/>
        </w:rPr>
      </w:pPr>
    </w:p>
    <w:p>
      <w:pPr>
        <w:pStyle w:val="BodyText"/>
        <w:rPr>
          <w:b/>
          <w:sz w:val="40"/>
        </w:rPr>
      </w:pPr>
    </w:p>
    <w:p>
      <w:pPr>
        <w:pStyle w:val="BodyText"/>
        <w:spacing w:before="4"/>
        <w:rPr>
          <w:b/>
          <w:sz w:val="34"/>
        </w:rPr>
      </w:pPr>
    </w:p>
    <w:p>
      <w:pPr>
        <w:spacing w:before="0"/>
        <w:ind w:left="2723" w:right="3638" w:firstLine="0"/>
        <w:jc w:val="center"/>
        <w:rPr>
          <w:b/>
          <w:sz w:val="31"/>
        </w:rPr>
      </w:pPr>
      <w:r>
        <w:rPr>
          <w:b/>
          <w:sz w:val="31"/>
        </w:rPr>
        <w:t>EJERCICIO 2024</w:t>
      </w:r>
    </w:p>
    <w:p>
      <w:pPr>
        <w:pStyle w:val="BodyText"/>
        <w:rPr>
          <w:b/>
          <w:sz w:val="30"/>
        </w:rPr>
      </w:pPr>
    </w:p>
    <w:p>
      <w:pPr>
        <w:pStyle w:val="BodyText"/>
        <w:spacing w:before="7"/>
        <w:rPr>
          <w:b/>
          <w:sz w:val="42"/>
        </w:rPr>
      </w:pPr>
    </w:p>
    <w:p>
      <w:pPr>
        <w:spacing w:before="1"/>
        <w:ind w:left="2725" w:right="3638" w:firstLine="0"/>
        <w:jc w:val="center"/>
        <w:rPr>
          <w:b/>
          <w:sz w:val="31"/>
        </w:rPr>
      </w:pPr>
      <w:r>
        <w:rPr>
          <w:b/>
          <w:sz w:val="31"/>
        </w:rPr>
        <w:t>MEMORIA SIMPLIFICADA</w:t>
      </w:r>
    </w:p>
    <w:p>
      <w:pPr>
        <w:spacing w:after="0"/>
        <w:jc w:val="center"/>
        <w:rPr>
          <w:sz w:val="31"/>
        </w:rPr>
        <w:sectPr>
          <w:pgSz w:w="11900" w:h="16840"/>
          <w:pgMar w:top="1600" w:bottom="280" w:left="1580" w:right="660"/>
        </w:sectPr>
      </w:pPr>
    </w:p>
    <w:p>
      <w:pPr>
        <w:pStyle w:val="BodyText"/>
        <w:rPr>
          <w:b/>
          <w:sz w:val="20"/>
        </w:rPr>
      </w:pPr>
    </w:p>
    <w:p>
      <w:pPr>
        <w:pStyle w:val="BodyText"/>
        <w:rPr>
          <w:b/>
          <w:sz w:val="20"/>
        </w:rPr>
      </w:pPr>
    </w:p>
    <w:p>
      <w:pPr>
        <w:pStyle w:val="BodyText"/>
        <w:spacing w:before="8"/>
        <w:rPr>
          <w:b/>
          <w:sz w:val="26"/>
        </w:rPr>
      </w:pPr>
    </w:p>
    <w:p>
      <w:pPr>
        <w:pStyle w:val="BodyText"/>
        <w:spacing w:line="273" w:lineRule="auto" w:before="62"/>
        <w:ind w:left="121" w:right="1031"/>
        <w:jc w:val="both"/>
      </w:pPr>
      <w:r>
        <w:rPr/>
        <w:t>Las cuentas anuales comprenden el balance, la cuenta de pérdidas y ganancias y la memoria. Estos documentos forman una unidad y han sido redactados de conformidad con lo previsto en la normativa mercantil vigente aplicable a la Fundación.</w:t>
      </w:r>
    </w:p>
    <w:p>
      <w:pPr>
        <w:pStyle w:val="BodyText"/>
        <w:spacing w:before="10"/>
        <w:rPr>
          <w:sz w:val="16"/>
        </w:rPr>
      </w:pPr>
    </w:p>
    <w:p>
      <w:pPr>
        <w:pStyle w:val="Heading3"/>
        <w:ind w:left="121" w:firstLine="0"/>
        <w:jc w:val="both"/>
      </w:pPr>
      <w:r>
        <w:rPr/>
        <w:t>FIRMA DE LOS MIEMBROS DEL ORGANO DE ADMINISTRACIÓN:</w:t>
      </w:r>
    </w:p>
    <w:p>
      <w:pPr>
        <w:pStyle w:val="BodyText"/>
        <w:rPr>
          <w:b/>
          <w:sz w:val="20"/>
        </w:rPr>
      </w:pPr>
    </w:p>
    <w:p>
      <w:pPr>
        <w:pStyle w:val="BodyText"/>
        <w:spacing w:before="10"/>
        <w:rPr>
          <w:b/>
          <w:sz w:val="23"/>
        </w:rPr>
      </w:pPr>
      <w:r>
        <w:rPr/>
        <w:pict>
          <v:shape style="position:absolute;margin-left:84.360001pt;margin-top:17.003790pt;width:406.95pt;height:78.25pt;mso-position-horizontal-relative:page;mso-position-vertical-relative:paragraph;z-index:-251636736;mso-wrap-distance-left:0;mso-wrap-distance-right:0" type="#_x0000_t202" filled="false" stroked="true" strokeweight=".96pt" strokecolor="#000000">
            <v:textbox inset="0,0,0,0">
              <w:txbxContent>
                <w:p>
                  <w:pPr>
                    <w:spacing w:line="292" w:lineRule="exact" w:before="0"/>
                    <w:ind w:left="2745" w:right="2745" w:firstLine="0"/>
                    <w:jc w:val="center"/>
                    <w:rPr>
                      <w:sz w:val="24"/>
                    </w:rPr>
                  </w:pPr>
                  <w:r>
                    <w:rPr>
                      <w:sz w:val="24"/>
                    </w:rPr>
                    <w:t>Presidente</w:t>
                  </w:r>
                </w:p>
                <w:p>
                  <w:pPr>
                    <w:pStyle w:val="BodyText"/>
                    <w:rPr>
                      <w:sz w:val="24"/>
                    </w:rPr>
                  </w:pPr>
                </w:p>
                <w:p>
                  <w:pPr>
                    <w:pStyle w:val="BodyText"/>
                    <w:rPr>
                      <w:sz w:val="24"/>
                    </w:rPr>
                  </w:pPr>
                </w:p>
                <w:p>
                  <w:pPr>
                    <w:pStyle w:val="BodyText"/>
                    <w:spacing w:before="1"/>
                    <w:rPr>
                      <w:sz w:val="31"/>
                    </w:rPr>
                  </w:pPr>
                </w:p>
                <w:p>
                  <w:pPr>
                    <w:spacing w:before="1"/>
                    <w:ind w:left="2745" w:right="2744" w:firstLine="0"/>
                    <w:jc w:val="center"/>
                    <w:rPr>
                      <w:b/>
                      <w:sz w:val="15"/>
                    </w:rPr>
                  </w:pPr>
                  <w:r>
                    <w:rPr>
                      <w:b/>
                      <w:sz w:val="15"/>
                    </w:rPr>
                    <w:t>Fdo: JAVIER SIERRA JORGE</w:t>
                  </w:r>
                </w:p>
              </w:txbxContent>
            </v:textbox>
            <v:stroke dashstyle="solid"/>
            <w10:wrap type="topAndBottom"/>
          </v:shape>
        </w:pict>
      </w:r>
      <w:r>
        <w:rPr/>
        <w:pict>
          <v:shape style="position:absolute;margin-left:84.360001pt;margin-top:105.203796pt;width:406.95pt;height:74.55pt;mso-position-horizontal-relative:page;mso-position-vertical-relative:paragraph;z-index:-251635712;mso-wrap-distance-left:0;mso-wrap-distance-right:0" type="#_x0000_t202" filled="false" stroked="true" strokeweight=".96pt" strokecolor="#000000">
            <v:textbox inset="0,0,0,0">
              <w:txbxContent>
                <w:p>
                  <w:pPr>
                    <w:spacing w:line="292" w:lineRule="exact" w:before="0"/>
                    <w:ind w:left="2745" w:right="2745" w:firstLine="0"/>
                    <w:jc w:val="center"/>
                    <w:rPr>
                      <w:sz w:val="24"/>
                    </w:rPr>
                  </w:pPr>
                  <w:r>
                    <w:rPr>
                      <w:sz w:val="24"/>
                    </w:rPr>
                    <w:t>Vicepresidente/Vocal</w:t>
                  </w:r>
                </w:p>
                <w:p>
                  <w:pPr>
                    <w:pStyle w:val="BodyText"/>
                    <w:rPr>
                      <w:sz w:val="24"/>
                    </w:rPr>
                  </w:pPr>
                </w:p>
                <w:p>
                  <w:pPr>
                    <w:pStyle w:val="BodyText"/>
                    <w:rPr>
                      <w:sz w:val="24"/>
                    </w:rPr>
                  </w:pPr>
                </w:p>
                <w:p>
                  <w:pPr>
                    <w:pStyle w:val="BodyText"/>
                    <w:spacing w:before="3"/>
                    <w:rPr>
                      <w:sz w:val="26"/>
                    </w:rPr>
                  </w:pPr>
                </w:p>
                <w:p>
                  <w:pPr>
                    <w:spacing w:before="0"/>
                    <w:ind w:left="2744" w:right="2745" w:firstLine="0"/>
                    <w:jc w:val="center"/>
                    <w:rPr>
                      <w:b/>
                      <w:sz w:val="15"/>
                    </w:rPr>
                  </w:pPr>
                  <w:r>
                    <w:rPr>
                      <w:b/>
                      <w:sz w:val="15"/>
                    </w:rPr>
                    <w:t>Fdo: ADOLFO GONZALEZ PEREZ-SIVERIO</w:t>
                  </w:r>
                </w:p>
              </w:txbxContent>
            </v:textbox>
            <v:stroke dashstyle="solid"/>
            <w10:wrap type="topAndBottom"/>
          </v:shape>
        </w:pict>
      </w:r>
      <w:r>
        <w:rPr/>
        <w:pict>
          <v:shape style="position:absolute;margin-left:84.360001pt;margin-top:197.3638pt;width:406.95pt;height:73.7pt;mso-position-horizontal-relative:page;mso-position-vertical-relative:paragraph;z-index:-251634688;mso-wrap-distance-left:0;mso-wrap-distance-right:0" type="#_x0000_t202" filled="false" stroked="true" strokeweight=".96pt" strokecolor="#000000">
            <v:textbox inset="0,0,0,0">
              <w:txbxContent>
                <w:p>
                  <w:pPr>
                    <w:spacing w:line="292" w:lineRule="exact" w:before="0"/>
                    <w:ind w:left="2745" w:right="2745" w:firstLine="0"/>
                    <w:jc w:val="center"/>
                    <w:rPr>
                      <w:sz w:val="24"/>
                    </w:rPr>
                  </w:pPr>
                  <w:r>
                    <w:rPr>
                      <w:sz w:val="24"/>
                    </w:rPr>
                    <w:t>Secretaria</w:t>
                  </w:r>
                </w:p>
                <w:p>
                  <w:pPr>
                    <w:pStyle w:val="BodyText"/>
                    <w:rPr>
                      <w:sz w:val="24"/>
                    </w:rPr>
                  </w:pPr>
                </w:p>
                <w:p>
                  <w:pPr>
                    <w:pStyle w:val="BodyText"/>
                    <w:rPr>
                      <w:sz w:val="24"/>
                    </w:rPr>
                  </w:pPr>
                </w:p>
                <w:p>
                  <w:pPr>
                    <w:pStyle w:val="BodyText"/>
                    <w:spacing w:before="3"/>
                    <w:rPr>
                      <w:sz w:val="26"/>
                    </w:rPr>
                  </w:pPr>
                </w:p>
                <w:p>
                  <w:pPr>
                    <w:spacing w:before="0"/>
                    <w:ind w:left="2745" w:right="2745" w:firstLine="0"/>
                    <w:jc w:val="center"/>
                    <w:rPr>
                      <w:b/>
                      <w:sz w:val="15"/>
                    </w:rPr>
                  </w:pPr>
                  <w:r>
                    <w:rPr>
                      <w:b/>
                      <w:sz w:val="15"/>
                    </w:rPr>
                    <w:t>Fdo: ISABEL ELENA SOCORRO GONZÁLEZ</w:t>
                  </w:r>
                </w:p>
              </w:txbxContent>
            </v:textbox>
            <v:stroke dashstyle="solid"/>
            <w10:wrap type="topAndBottom"/>
          </v:shape>
        </w:pict>
      </w:r>
      <w:r>
        <w:rPr/>
        <w:pict>
          <v:shape style="position:absolute;margin-left:84.360001pt;margin-top:290.003784pt;width:406.95pt;height:75.4pt;mso-position-horizontal-relative:page;mso-position-vertical-relative:paragraph;z-index:-251633664;mso-wrap-distance-left:0;mso-wrap-distance-right:0" type="#_x0000_t202" filled="false" stroked="true" strokeweight=".96pt" strokecolor="#000000">
            <v:textbox inset="0,0,0,0">
              <w:txbxContent>
                <w:p>
                  <w:pPr>
                    <w:spacing w:before="2"/>
                    <w:ind w:left="2745" w:right="2745" w:firstLine="0"/>
                    <w:jc w:val="center"/>
                    <w:rPr>
                      <w:sz w:val="24"/>
                    </w:rPr>
                  </w:pPr>
                  <w:r>
                    <w:rPr>
                      <w:sz w:val="24"/>
                    </w:rPr>
                    <w:t>Vocal</w:t>
                  </w:r>
                </w:p>
                <w:p>
                  <w:pPr>
                    <w:pStyle w:val="BodyText"/>
                    <w:rPr>
                      <w:sz w:val="24"/>
                    </w:rPr>
                  </w:pPr>
                </w:p>
                <w:p>
                  <w:pPr>
                    <w:pStyle w:val="BodyText"/>
                    <w:rPr>
                      <w:sz w:val="24"/>
                    </w:rPr>
                  </w:pPr>
                </w:p>
                <w:p>
                  <w:pPr>
                    <w:pStyle w:val="BodyText"/>
                    <w:spacing w:before="2"/>
                    <w:rPr>
                      <w:sz w:val="26"/>
                    </w:rPr>
                  </w:pPr>
                </w:p>
                <w:p>
                  <w:pPr>
                    <w:spacing w:before="1"/>
                    <w:ind w:left="2745" w:right="2745" w:firstLine="0"/>
                    <w:jc w:val="center"/>
                    <w:rPr>
                      <w:b/>
                      <w:sz w:val="15"/>
                    </w:rPr>
                  </w:pPr>
                  <w:r>
                    <w:rPr>
                      <w:b/>
                      <w:sz w:val="15"/>
                    </w:rPr>
                    <w:t>Fdo: VERONICA GONZÁLEZ GARCÍA</w:t>
                  </w:r>
                </w:p>
              </w:txbxContent>
            </v:textbox>
            <v:stroke dashstyle="solid"/>
            <w10:wrap type="topAndBottom"/>
          </v:shape>
        </w:pict>
      </w:r>
      <w:r>
        <w:rPr/>
        <w:pict>
          <v:shape style="position:absolute;margin-left:84.360001pt;margin-top:375.323792pt;width:406.95pt;height:76.850pt;mso-position-horizontal-relative:page;mso-position-vertical-relative:paragraph;z-index:-251632640;mso-wrap-distance-left:0;mso-wrap-distance-right:0" type="#_x0000_t202" filled="false" stroked="true" strokeweight=".96pt" strokecolor="#000000">
            <v:textbox inset="0,0,0,0">
              <w:txbxContent>
                <w:p>
                  <w:pPr>
                    <w:spacing w:line="292" w:lineRule="exact" w:before="0"/>
                    <w:ind w:left="2745" w:right="2745" w:firstLine="0"/>
                    <w:jc w:val="center"/>
                    <w:rPr>
                      <w:sz w:val="24"/>
                    </w:rPr>
                  </w:pPr>
                  <w:r>
                    <w:rPr>
                      <w:sz w:val="24"/>
                    </w:rPr>
                    <w:t>Vocal</w:t>
                  </w:r>
                </w:p>
                <w:p>
                  <w:pPr>
                    <w:pStyle w:val="BodyText"/>
                    <w:rPr>
                      <w:sz w:val="24"/>
                    </w:rPr>
                  </w:pPr>
                </w:p>
                <w:p>
                  <w:pPr>
                    <w:pStyle w:val="BodyText"/>
                    <w:rPr>
                      <w:sz w:val="24"/>
                    </w:rPr>
                  </w:pPr>
                </w:p>
                <w:p>
                  <w:pPr>
                    <w:pStyle w:val="BodyText"/>
                    <w:spacing w:before="3"/>
                    <w:rPr>
                      <w:sz w:val="26"/>
                    </w:rPr>
                  </w:pPr>
                </w:p>
                <w:p>
                  <w:pPr>
                    <w:spacing w:before="0"/>
                    <w:ind w:left="2745" w:right="2745" w:firstLine="0"/>
                    <w:jc w:val="center"/>
                    <w:rPr>
                      <w:b/>
                      <w:sz w:val="15"/>
                    </w:rPr>
                  </w:pPr>
                  <w:r>
                    <w:rPr>
                      <w:b/>
                      <w:sz w:val="15"/>
                    </w:rPr>
                    <w:t>Fdo: DOMINGO VICENTE BORGES GARCÍA</w:t>
                  </w:r>
                </w:p>
              </w:txbxContent>
            </v:textbox>
            <v:stroke dashstyle="solid"/>
            <w10:wrap type="topAndBottom"/>
          </v:shape>
        </w:pict>
      </w:r>
    </w:p>
    <w:p>
      <w:pPr>
        <w:pStyle w:val="BodyText"/>
        <w:spacing w:before="1"/>
        <w:rPr>
          <w:b/>
          <w:sz w:val="9"/>
        </w:rPr>
      </w:pPr>
    </w:p>
    <w:p>
      <w:pPr>
        <w:pStyle w:val="BodyText"/>
        <w:spacing w:before="8"/>
        <w:rPr>
          <w:b/>
          <w:sz w:val="21"/>
        </w:rPr>
      </w:pPr>
    </w:p>
    <w:p>
      <w:pPr>
        <w:pStyle w:val="BodyText"/>
        <w:spacing w:before="10"/>
        <w:rPr>
          <w:b/>
          <w:sz w:val="23"/>
        </w:rPr>
      </w:pPr>
    </w:p>
    <w:p>
      <w:pPr>
        <w:pStyle w:val="BodyText"/>
        <w:spacing w:before="1"/>
        <w:rPr>
          <w:b/>
          <w:sz w:val="9"/>
        </w:rPr>
      </w:pPr>
    </w:p>
    <w:p>
      <w:pPr>
        <w:spacing w:after="0"/>
        <w:rPr>
          <w:sz w:val="9"/>
        </w:rPr>
        <w:sectPr>
          <w:headerReference w:type="default" r:id="rId5"/>
          <w:footerReference w:type="default" r:id="rId6"/>
          <w:pgSz w:w="11900" w:h="16840"/>
          <w:pgMar w:header="739" w:footer="767" w:top="1600" w:bottom="960" w:left="1580" w:right="660"/>
        </w:sectPr>
      </w:pPr>
    </w:p>
    <w:p>
      <w:pPr>
        <w:pStyle w:val="BodyText"/>
        <w:spacing w:before="5"/>
        <w:rPr>
          <w:b/>
        </w:rPr>
      </w:pPr>
    </w:p>
    <w:p>
      <w:pPr>
        <w:pStyle w:val="ListParagraph"/>
        <w:numPr>
          <w:ilvl w:val="0"/>
          <w:numId w:val="1"/>
        </w:numPr>
        <w:tabs>
          <w:tab w:pos="400" w:val="left" w:leader="none"/>
        </w:tabs>
        <w:spacing w:line="240" w:lineRule="auto" w:before="44" w:after="0"/>
        <w:ind w:left="400" w:right="0" w:hanging="279"/>
        <w:jc w:val="left"/>
        <w:rPr>
          <w:b/>
          <w:sz w:val="28"/>
        </w:rPr>
      </w:pPr>
      <w:r>
        <w:rPr>
          <w:b/>
          <w:sz w:val="28"/>
        </w:rPr>
        <w:t>ACTIVIDAD DE LA</w:t>
      </w:r>
      <w:r>
        <w:rPr>
          <w:b/>
          <w:spacing w:val="-6"/>
          <w:sz w:val="28"/>
        </w:rPr>
        <w:t> </w:t>
      </w:r>
      <w:r>
        <w:rPr>
          <w:b/>
          <w:sz w:val="28"/>
        </w:rPr>
        <w:t>EMPRESA.</w:t>
      </w:r>
    </w:p>
    <w:p>
      <w:pPr>
        <w:pStyle w:val="BodyText"/>
        <w:spacing w:before="250"/>
        <w:ind w:left="121"/>
        <w:jc w:val="both"/>
      </w:pPr>
      <w:r>
        <w:rPr/>
        <w:t>FUNDACION CANARIA PARA LA PROMOCION DE LA CULTURA MUSICAL Y LAS ARTES EN EL NORTE DE</w:t>
      </w:r>
    </w:p>
    <w:p>
      <w:pPr>
        <w:pStyle w:val="BodyText"/>
        <w:spacing w:before="1"/>
        <w:ind w:left="121" w:right="1062" w:hanging="1"/>
        <w:jc w:val="both"/>
      </w:pPr>
      <w:r>
        <w:rPr/>
        <w:t>TENERIFE (en adelante la Fundación) se constituyó mediante escritura pública ante el Notario de Los Realejos, Doña Sara Jimena Unceta de la Cruz, el 24 de enero de 2012.</w:t>
      </w:r>
    </w:p>
    <w:p>
      <w:pPr>
        <w:pStyle w:val="BodyText"/>
        <w:spacing w:before="11"/>
        <w:rPr>
          <w:sz w:val="23"/>
        </w:rPr>
      </w:pPr>
    </w:p>
    <w:p>
      <w:pPr>
        <w:pStyle w:val="BodyText"/>
        <w:spacing w:before="1"/>
        <w:ind w:left="121" w:right="1032" w:hanging="1"/>
        <w:jc w:val="both"/>
      </w:pPr>
      <w:r>
        <w:rPr/>
        <w:t>Su domicilio social se encuentra establecido en Avenida de Canarias, número 6, 38410, Los Realejos. El CIF de la Fundación es G76564442.</w:t>
      </w:r>
    </w:p>
    <w:p>
      <w:pPr>
        <w:pStyle w:val="BodyText"/>
        <w:spacing w:before="1"/>
        <w:rPr>
          <w:sz w:val="24"/>
        </w:rPr>
      </w:pPr>
    </w:p>
    <w:p>
      <w:pPr>
        <w:pStyle w:val="BodyText"/>
        <w:ind w:left="121" w:right="1028"/>
        <w:jc w:val="both"/>
      </w:pPr>
      <w:r>
        <w:rPr/>
        <w:t>Constituye su finalidad fundacional: la sensibilización, educación y formación de los ciudadanos en materia musical, teatral y artística, la promoción y el desarrollo de las artes en general, así como cualquier otra actividad relacionada con la finalidad funcional.</w:t>
      </w:r>
    </w:p>
    <w:p>
      <w:pPr>
        <w:pStyle w:val="BodyText"/>
        <w:rPr>
          <w:sz w:val="24"/>
        </w:rPr>
      </w:pPr>
    </w:p>
    <w:p>
      <w:pPr>
        <w:pStyle w:val="BodyText"/>
        <w:ind w:left="121" w:right="1031"/>
        <w:jc w:val="both"/>
      </w:pPr>
      <w:r>
        <w:rPr/>
        <w:t>La actividad actual de la Fundación coincide con su finalidad fundacional. La Fundación lleva a cabo dos actividades diferentes: música y biblioteca.</w:t>
      </w:r>
    </w:p>
    <w:p>
      <w:pPr>
        <w:pStyle w:val="BodyText"/>
      </w:pPr>
    </w:p>
    <w:p>
      <w:pPr>
        <w:pStyle w:val="BodyText"/>
        <w:ind w:left="121" w:right="1032"/>
        <w:jc w:val="both"/>
      </w:pPr>
      <w:r>
        <w:rPr/>
        <w:t>La Fundación desarrolla las actividades en el municipio de Los Realejos en la calle San Agustín, número 6 y en el municipio de Icod de los Vinos en la Plaza </w:t>
      </w:r>
      <w:r>
        <w:rPr>
          <w:sz w:val="18"/>
        </w:rPr>
        <w:t>de </w:t>
      </w:r>
      <w:r>
        <w:rPr/>
        <w:t>la Constitución, 1-1ª PL Casa Museo de los Cáceres.</w:t>
      </w:r>
    </w:p>
    <w:p>
      <w:pPr>
        <w:pStyle w:val="BodyText"/>
        <w:rPr>
          <w:sz w:val="18"/>
        </w:rPr>
      </w:pPr>
    </w:p>
    <w:p>
      <w:pPr>
        <w:pStyle w:val="BodyText"/>
        <w:rPr>
          <w:sz w:val="18"/>
        </w:rPr>
      </w:pPr>
    </w:p>
    <w:p>
      <w:pPr>
        <w:pStyle w:val="Heading1"/>
        <w:numPr>
          <w:ilvl w:val="0"/>
          <w:numId w:val="1"/>
        </w:numPr>
        <w:tabs>
          <w:tab w:pos="400" w:val="left" w:leader="none"/>
        </w:tabs>
        <w:spacing w:line="240" w:lineRule="auto" w:before="144" w:after="0"/>
        <w:ind w:left="400" w:right="0" w:hanging="279"/>
        <w:jc w:val="left"/>
      </w:pPr>
      <w:r>
        <w:rPr/>
        <w:t>BASES DE PRESENTACION DE LAS CUENTAS</w:t>
      </w:r>
      <w:r>
        <w:rPr>
          <w:spacing w:val="-12"/>
        </w:rPr>
        <w:t> </w:t>
      </w:r>
      <w:r>
        <w:rPr/>
        <w:t>ANUALES.</w:t>
      </w:r>
    </w:p>
    <w:p>
      <w:pPr>
        <w:pStyle w:val="BodyText"/>
        <w:spacing w:before="9"/>
        <w:rPr>
          <w:b/>
          <w:sz w:val="20"/>
        </w:rPr>
      </w:pPr>
    </w:p>
    <w:p>
      <w:pPr>
        <w:pStyle w:val="Heading3"/>
        <w:numPr>
          <w:ilvl w:val="0"/>
          <w:numId w:val="2"/>
        </w:numPr>
        <w:tabs>
          <w:tab w:pos="352" w:val="left" w:leader="none"/>
        </w:tabs>
        <w:spacing w:line="240" w:lineRule="auto" w:before="0" w:after="0"/>
        <w:ind w:left="352" w:right="0" w:hanging="231"/>
        <w:jc w:val="left"/>
      </w:pPr>
      <w:r>
        <w:rPr/>
        <w:t>Imagen</w:t>
      </w:r>
      <w:r>
        <w:rPr>
          <w:spacing w:val="-1"/>
        </w:rPr>
        <w:t> </w:t>
      </w:r>
      <w:r>
        <w:rPr/>
        <w:t>fiel.</w:t>
      </w:r>
    </w:p>
    <w:p>
      <w:pPr>
        <w:pStyle w:val="BodyText"/>
        <w:spacing w:before="12"/>
        <w:rPr>
          <w:b/>
          <w:sz w:val="23"/>
        </w:rPr>
      </w:pPr>
    </w:p>
    <w:p>
      <w:pPr>
        <w:pStyle w:val="BodyText"/>
        <w:ind w:left="121" w:right="1031" w:hanging="1"/>
        <w:jc w:val="both"/>
      </w:pPr>
      <w:r>
        <w:rPr/>
        <w:t>Las Cuentas Anuales del ejercicio 2024 adjuntas han sido formuladas por el Presidente a partir de  los registros contables de la Fundación a 31 de diciembre de 2024 y en ellas se han aplicado los principios contables y criterios de valoración recogidos en el Real Decreto 1491/2011, por el que se aprueban las normas de adaptación del Plan General de Contabilidad a las Fundaciones sin fines lucrativos y el modelo de plan de actuación de las Fundaciones sin fines lucrativos, y muestran la imagen fiel del patrimonio, de la situación financiera y de los resultados de la</w:t>
      </w:r>
      <w:r>
        <w:rPr>
          <w:spacing w:val="-6"/>
        </w:rPr>
        <w:t> </w:t>
      </w:r>
      <w:r>
        <w:rPr/>
        <w:t>Fundación.</w:t>
      </w:r>
    </w:p>
    <w:p>
      <w:pPr>
        <w:pStyle w:val="BodyText"/>
        <w:spacing w:before="1"/>
      </w:pPr>
    </w:p>
    <w:p>
      <w:pPr>
        <w:pStyle w:val="BodyText"/>
        <w:ind w:left="121" w:right="1031"/>
        <w:jc w:val="both"/>
      </w:pPr>
      <w:r>
        <w:rPr/>
        <w:t>No existen razones excepcionales por las que, para mostrar la imagen fiel, no se hayan aplicado disposiciones legales en materia contable.</w:t>
      </w:r>
    </w:p>
    <w:p>
      <w:pPr>
        <w:pStyle w:val="BodyText"/>
      </w:pPr>
    </w:p>
    <w:p>
      <w:pPr>
        <w:pStyle w:val="BodyText"/>
        <w:ind w:left="121" w:right="1030" w:hanging="1"/>
        <w:jc w:val="both"/>
      </w:pPr>
      <w:r>
        <w:rPr/>
        <w:t>Las Cuentas Anuales adjuntas se someterán a la aprobación del Patronato de la Fundación, estimándose que serán aprobadas sin modificación alguna.</w:t>
      </w:r>
    </w:p>
    <w:p>
      <w:pPr>
        <w:pStyle w:val="BodyText"/>
      </w:pPr>
    </w:p>
    <w:p>
      <w:pPr>
        <w:pStyle w:val="BodyText"/>
        <w:spacing w:before="1"/>
        <w:ind w:left="121" w:right="1030"/>
        <w:jc w:val="both"/>
      </w:pPr>
      <w:r>
        <w:rPr/>
        <w:t>Las Cuentas Anuales del ejercicio anterior, fueron aprobadas por el Patronato de la Fundación, el 30 de septiembre de 2024.</w:t>
      </w:r>
    </w:p>
    <w:p>
      <w:pPr>
        <w:pStyle w:val="BodyText"/>
        <w:spacing w:before="9"/>
        <w:rPr>
          <w:sz w:val="23"/>
        </w:rPr>
      </w:pPr>
    </w:p>
    <w:p>
      <w:pPr>
        <w:pStyle w:val="Heading3"/>
        <w:numPr>
          <w:ilvl w:val="0"/>
          <w:numId w:val="2"/>
        </w:numPr>
        <w:tabs>
          <w:tab w:pos="355" w:val="left" w:leader="none"/>
        </w:tabs>
        <w:spacing w:line="240" w:lineRule="auto" w:before="0" w:after="0"/>
        <w:ind w:left="354" w:right="0" w:hanging="234"/>
        <w:jc w:val="left"/>
      </w:pPr>
      <w:r>
        <w:rPr/>
        <w:t>Principios</w:t>
      </w:r>
      <w:r>
        <w:rPr>
          <w:spacing w:val="-1"/>
        </w:rPr>
        <w:t> </w:t>
      </w:r>
      <w:r>
        <w:rPr/>
        <w:t>contables.</w:t>
      </w:r>
    </w:p>
    <w:p>
      <w:pPr>
        <w:pStyle w:val="BodyText"/>
        <w:spacing w:before="2"/>
        <w:rPr>
          <w:b/>
          <w:sz w:val="24"/>
        </w:rPr>
      </w:pPr>
    </w:p>
    <w:p>
      <w:pPr>
        <w:pStyle w:val="BodyText"/>
        <w:ind w:left="121"/>
        <w:jc w:val="both"/>
      </w:pPr>
      <w:r>
        <w:rPr/>
        <w:t>Se han aplicado los principios contables obligatorios</w:t>
      </w:r>
    </w:p>
    <w:p>
      <w:pPr>
        <w:pStyle w:val="BodyText"/>
        <w:spacing w:before="10"/>
        <w:rPr>
          <w:sz w:val="23"/>
        </w:rPr>
      </w:pPr>
    </w:p>
    <w:p>
      <w:pPr>
        <w:pStyle w:val="Heading3"/>
        <w:numPr>
          <w:ilvl w:val="0"/>
          <w:numId w:val="2"/>
        </w:numPr>
        <w:tabs>
          <w:tab w:pos="355" w:val="left" w:leader="none"/>
        </w:tabs>
        <w:spacing w:line="240" w:lineRule="auto" w:before="1" w:after="0"/>
        <w:ind w:left="354" w:right="0" w:hanging="234"/>
        <w:jc w:val="left"/>
      </w:pPr>
      <w:r>
        <w:rPr/>
        <w:t>Aspectos críticos de la valoración y estimación de la</w:t>
      </w:r>
      <w:r>
        <w:rPr>
          <w:spacing w:val="-12"/>
        </w:rPr>
        <w:t> </w:t>
      </w:r>
      <w:r>
        <w:rPr/>
        <w:t>incertidumbre.</w:t>
      </w:r>
    </w:p>
    <w:p>
      <w:pPr>
        <w:pStyle w:val="BodyText"/>
        <w:spacing w:before="1"/>
        <w:rPr>
          <w:b/>
          <w:sz w:val="24"/>
        </w:rPr>
      </w:pPr>
    </w:p>
    <w:p>
      <w:pPr>
        <w:pStyle w:val="BodyText"/>
        <w:spacing w:before="1"/>
        <w:ind w:left="121" w:right="1031" w:hanging="1"/>
        <w:jc w:val="both"/>
      </w:pPr>
      <w:r>
        <w:rPr/>
        <w:t>La Fundación ha elaborado sus estados financieros bajo el principio de empresa en funcionamiento, sin que exista ningún tipo de riesgo importante que pueda suponer cambios significativos en el valor de los activos o pasivos en el ejercicio siguiente.</w:t>
      </w:r>
    </w:p>
    <w:p>
      <w:pPr>
        <w:pStyle w:val="Heading3"/>
        <w:numPr>
          <w:ilvl w:val="0"/>
          <w:numId w:val="2"/>
        </w:numPr>
        <w:tabs>
          <w:tab w:pos="355" w:val="left" w:leader="none"/>
        </w:tabs>
        <w:spacing w:line="279" w:lineRule="exact" w:before="0" w:after="0"/>
        <w:ind w:left="354" w:right="0" w:hanging="234"/>
        <w:jc w:val="left"/>
      </w:pPr>
      <w:r>
        <w:rPr/>
        <w:t>Comparación de la</w:t>
      </w:r>
      <w:r>
        <w:rPr>
          <w:spacing w:val="-4"/>
        </w:rPr>
        <w:t> </w:t>
      </w:r>
      <w:r>
        <w:rPr/>
        <w:t>información.</w:t>
      </w:r>
    </w:p>
    <w:p>
      <w:pPr>
        <w:pStyle w:val="BodyText"/>
        <w:spacing w:before="1"/>
        <w:rPr>
          <w:b/>
          <w:sz w:val="24"/>
        </w:rPr>
      </w:pPr>
    </w:p>
    <w:p>
      <w:pPr>
        <w:spacing w:before="0"/>
        <w:ind w:left="121" w:right="1032" w:firstLine="0"/>
        <w:jc w:val="both"/>
        <w:rPr>
          <w:sz w:val="18"/>
        </w:rPr>
      </w:pPr>
      <w:r>
        <w:rPr>
          <w:sz w:val="18"/>
        </w:rPr>
        <w:t>No ha habido ninguna razón excepcional que justifique la modificación de la estructura del Balance ni de la Cuenta de Resultados del ejercicio anterior. No existiendo ninguna causa que impida la comparación de los estados</w:t>
      </w:r>
    </w:p>
    <w:p>
      <w:pPr>
        <w:spacing w:after="0"/>
        <w:jc w:val="both"/>
        <w:rPr>
          <w:sz w:val="18"/>
        </w:rPr>
        <w:sectPr>
          <w:pgSz w:w="11900" w:h="16840"/>
          <w:pgMar w:header="739" w:footer="767" w:top="1600" w:bottom="960" w:left="1580" w:right="660"/>
        </w:sectPr>
      </w:pPr>
    </w:p>
    <w:p>
      <w:pPr>
        <w:pStyle w:val="BodyText"/>
        <w:spacing w:before="9"/>
        <w:rPr>
          <w:sz w:val="17"/>
        </w:rPr>
      </w:pPr>
    </w:p>
    <w:p>
      <w:pPr>
        <w:spacing w:before="64"/>
        <w:ind w:left="121" w:right="0" w:firstLine="0"/>
        <w:jc w:val="left"/>
        <w:rPr>
          <w:sz w:val="18"/>
        </w:rPr>
      </w:pPr>
      <w:r>
        <w:rPr>
          <w:sz w:val="18"/>
        </w:rPr>
        <w:t>financieros del ejercicio actual con los de año anterior.</w:t>
      </w:r>
    </w:p>
    <w:p>
      <w:pPr>
        <w:pStyle w:val="BodyText"/>
        <w:spacing w:before="12"/>
        <w:rPr>
          <w:sz w:val="18"/>
        </w:rPr>
      </w:pPr>
    </w:p>
    <w:p>
      <w:pPr>
        <w:pStyle w:val="Heading3"/>
        <w:numPr>
          <w:ilvl w:val="0"/>
          <w:numId w:val="2"/>
        </w:numPr>
        <w:tabs>
          <w:tab w:pos="355" w:val="left" w:leader="none"/>
        </w:tabs>
        <w:spacing w:line="240" w:lineRule="auto" w:before="0" w:after="0"/>
        <w:ind w:left="354" w:right="0" w:hanging="234"/>
        <w:jc w:val="left"/>
      </w:pPr>
      <w:r>
        <w:rPr/>
        <w:t>Elementos recogidos en varias</w:t>
      </w:r>
      <w:r>
        <w:rPr>
          <w:spacing w:val="-3"/>
        </w:rPr>
        <w:t> </w:t>
      </w:r>
      <w:r>
        <w:rPr/>
        <w:t>partidas.</w:t>
      </w:r>
    </w:p>
    <w:p>
      <w:pPr>
        <w:pStyle w:val="BodyText"/>
        <w:spacing w:before="2"/>
        <w:rPr>
          <w:b/>
          <w:sz w:val="24"/>
        </w:rPr>
      </w:pPr>
    </w:p>
    <w:p>
      <w:pPr>
        <w:pStyle w:val="BodyText"/>
        <w:ind w:left="121"/>
      </w:pPr>
      <w:r>
        <w:rPr/>
        <w:t>No se presentan elementos patrimoniales registrados en dos o más partidas del balance.</w:t>
      </w:r>
    </w:p>
    <w:p>
      <w:pPr>
        <w:pStyle w:val="BodyText"/>
        <w:spacing w:before="10"/>
        <w:rPr>
          <w:sz w:val="23"/>
        </w:rPr>
      </w:pPr>
    </w:p>
    <w:p>
      <w:pPr>
        <w:pStyle w:val="Heading3"/>
        <w:numPr>
          <w:ilvl w:val="0"/>
          <w:numId w:val="2"/>
        </w:numPr>
        <w:tabs>
          <w:tab w:pos="405" w:val="left" w:leader="none"/>
        </w:tabs>
        <w:spacing w:line="240" w:lineRule="auto" w:before="1" w:after="0"/>
        <w:ind w:left="404" w:right="0" w:hanging="284"/>
        <w:jc w:val="left"/>
      </w:pPr>
      <w:r>
        <w:rPr/>
        <w:t>Corrección de</w:t>
      </w:r>
      <w:r>
        <w:rPr>
          <w:spacing w:val="-2"/>
        </w:rPr>
        <w:t> </w:t>
      </w:r>
      <w:r>
        <w:rPr/>
        <w:t>errores.</w:t>
      </w:r>
    </w:p>
    <w:p>
      <w:pPr>
        <w:pStyle w:val="BodyText"/>
        <w:spacing w:before="11"/>
        <w:rPr>
          <w:b/>
          <w:sz w:val="23"/>
        </w:rPr>
      </w:pPr>
    </w:p>
    <w:p>
      <w:pPr>
        <w:pStyle w:val="BodyText"/>
        <w:ind w:left="121" w:right="1031"/>
      </w:pPr>
      <w:r>
        <w:rPr/>
        <w:t>Las cuentas anuales del ejercicio 2024 incluyen ajustes realizados como consecuencia de errores detectados en el ejercicio por importe de 604,93 euros, que se registran en la cuenta de Reservas Voluntarias.</w:t>
      </w:r>
    </w:p>
    <w:p>
      <w:pPr>
        <w:pStyle w:val="BodyText"/>
      </w:pPr>
    </w:p>
    <w:p>
      <w:pPr>
        <w:pStyle w:val="BodyText"/>
        <w:spacing w:before="1"/>
        <w:ind w:left="121" w:right="1031"/>
      </w:pPr>
      <w:r>
        <w:rPr/>
        <w:t>Las cuentas anuales del ejercicio 2023 no incluyen ajustes realizados como consecuencia de errores detectados en el ejercicio.</w:t>
      </w:r>
    </w:p>
    <w:p>
      <w:pPr>
        <w:pStyle w:val="BodyText"/>
      </w:pPr>
    </w:p>
    <w:p>
      <w:pPr>
        <w:pStyle w:val="Heading3"/>
        <w:numPr>
          <w:ilvl w:val="0"/>
          <w:numId w:val="2"/>
        </w:numPr>
        <w:tabs>
          <w:tab w:pos="355" w:val="left" w:leader="none"/>
        </w:tabs>
        <w:spacing w:line="240" w:lineRule="auto" w:before="0" w:after="0"/>
        <w:ind w:left="354" w:right="0" w:hanging="234"/>
        <w:jc w:val="left"/>
      </w:pPr>
      <w:r>
        <w:rPr/>
        <w:t>Cambios en criterios contables.</w:t>
      </w:r>
    </w:p>
    <w:p>
      <w:pPr>
        <w:pStyle w:val="BodyText"/>
        <w:rPr>
          <w:b/>
          <w:sz w:val="23"/>
        </w:rPr>
      </w:pPr>
    </w:p>
    <w:p>
      <w:pPr>
        <w:pStyle w:val="BodyText"/>
        <w:ind w:left="121" w:right="1031"/>
      </w:pPr>
      <w:r>
        <w:rPr/>
        <w:t>Durante el ejercicio 2024 y 2023 no se han producido cambios significativos de criterios contables respecto a los criterios aplicados en el ejercicio anterior.</w:t>
      </w:r>
    </w:p>
    <w:p>
      <w:pPr>
        <w:pStyle w:val="BodyText"/>
        <w:rPr>
          <w:sz w:val="18"/>
        </w:rPr>
      </w:pPr>
    </w:p>
    <w:p>
      <w:pPr>
        <w:pStyle w:val="BodyText"/>
        <w:spacing w:before="10"/>
        <w:rPr>
          <w:sz w:val="23"/>
        </w:rPr>
      </w:pPr>
    </w:p>
    <w:p>
      <w:pPr>
        <w:pStyle w:val="Heading3"/>
        <w:numPr>
          <w:ilvl w:val="0"/>
          <w:numId w:val="2"/>
        </w:numPr>
        <w:tabs>
          <w:tab w:pos="353" w:val="left" w:leader="none"/>
        </w:tabs>
        <w:spacing w:line="240" w:lineRule="auto" w:before="0" w:after="0"/>
        <w:ind w:left="352" w:right="0" w:hanging="232"/>
        <w:jc w:val="left"/>
      </w:pPr>
      <w:r>
        <w:rPr/>
        <w:t>Importancia</w:t>
      </w:r>
      <w:r>
        <w:rPr>
          <w:spacing w:val="-1"/>
        </w:rPr>
        <w:t> </w:t>
      </w:r>
      <w:r>
        <w:rPr/>
        <w:t>relativa.</w:t>
      </w:r>
    </w:p>
    <w:p>
      <w:pPr>
        <w:pStyle w:val="BodyText"/>
        <w:spacing w:before="2"/>
        <w:rPr>
          <w:b/>
          <w:sz w:val="23"/>
        </w:rPr>
      </w:pPr>
    </w:p>
    <w:p>
      <w:pPr>
        <w:pStyle w:val="BodyText"/>
        <w:ind w:left="121" w:right="1031" w:hanging="1"/>
        <w:jc w:val="both"/>
      </w:pPr>
      <w:r>
        <w:rPr/>
        <w:t>Al determinar la información a desglosar en la presente memoria sobre las diferentes partidas de los estados financieros u otros asuntos, La Fundación, de acuerdo con el Marco Conceptual de las normas de adaptación del Plan General de Contabilidad a las Fundaciones sin fines lucrativos, ha tenido en cuenta la importancia relativa en relación con las Cuentas Anuales del ejercicio 2024.</w:t>
      </w:r>
    </w:p>
    <w:p>
      <w:pPr>
        <w:pStyle w:val="BodyText"/>
        <w:rPr>
          <w:sz w:val="18"/>
        </w:rPr>
      </w:pPr>
    </w:p>
    <w:p>
      <w:pPr>
        <w:pStyle w:val="BodyText"/>
        <w:spacing w:before="11"/>
      </w:pPr>
    </w:p>
    <w:p>
      <w:pPr>
        <w:pStyle w:val="Heading1"/>
        <w:numPr>
          <w:ilvl w:val="0"/>
          <w:numId w:val="3"/>
        </w:numPr>
        <w:tabs>
          <w:tab w:pos="400" w:val="left" w:leader="none"/>
        </w:tabs>
        <w:spacing w:line="240" w:lineRule="auto" w:before="0" w:after="0"/>
        <w:ind w:left="400" w:right="0" w:hanging="279"/>
        <w:jc w:val="left"/>
      </w:pPr>
      <w:r>
        <w:rPr/>
        <w:t>EXCEDENTE DEL</w:t>
      </w:r>
      <w:r>
        <w:rPr>
          <w:spacing w:val="-2"/>
        </w:rPr>
        <w:t> </w:t>
      </w:r>
      <w:r>
        <w:rPr/>
        <w:t>EJERCICIO.</w:t>
      </w:r>
    </w:p>
    <w:p>
      <w:pPr>
        <w:pStyle w:val="BodyText"/>
        <w:spacing w:before="251"/>
        <w:ind w:left="121"/>
        <w:jc w:val="both"/>
      </w:pPr>
      <w:r>
        <w:rPr/>
        <w:t>La información sobre la propuesta de aplicación del excedente del ejercicio, se detalla en el siguiente cuadro:</w:t>
      </w:r>
    </w:p>
    <w:p>
      <w:pPr>
        <w:pStyle w:val="BodyText"/>
        <w:spacing w:before="4" w:after="1"/>
      </w:pPr>
    </w:p>
    <w:tbl>
      <w:tblPr>
        <w:tblW w:w="0" w:type="auto"/>
        <w:jc w:val="left"/>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55"/>
        <w:gridCol w:w="1932"/>
      </w:tblGrid>
      <w:tr>
        <w:trPr>
          <w:trHeight w:val="340" w:hRule="atLeast"/>
        </w:trPr>
        <w:tc>
          <w:tcPr>
            <w:tcW w:w="5155" w:type="dxa"/>
          </w:tcPr>
          <w:p>
            <w:pPr>
              <w:pStyle w:val="TableParagraph"/>
              <w:spacing w:line="178" w:lineRule="exact" w:before="142"/>
              <w:ind w:left="69"/>
              <w:rPr>
                <w:sz w:val="16"/>
              </w:rPr>
            </w:pPr>
            <w:r>
              <w:rPr>
                <w:sz w:val="16"/>
              </w:rPr>
              <w:t>Base de reparto</w:t>
            </w:r>
          </w:p>
        </w:tc>
        <w:tc>
          <w:tcPr>
            <w:tcW w:w="1932" w:type="dxa"/>
          </w:tcPr>
          <w:p>
            <w:pPr>
              <w:pStyle w:val="TableParagraph"/>
              <w:spacing w:line="178" w:lineRule="exact" w:before="142"/>
              <w:ind w:left="700"/>
              <w:rPr>
                <w:sz w:val="16"/>
              </w:rPr>
            </w:pPr>
            <w:r>
              <w:rPr>
                <w:sz w:val="16"/>
              </w:rPr>
              <w:t>Importe</w:t>
            </w:r>
          </w:p>
        </w:tc>
      </w:tr>
      <w:tr>
        <w:trPr>
          <w:trHeight w:val="225" w:hRule="atLeast"/>
        </w:trPr>
        <w:tc>
          <w:tcPr>
            <w:tcW w:w="5155" w:type="dxa"/>
          </w:tcPr>
          <w:p>
            <w:pPr>
              <w:pStyle w:val="TableParagraph"/>
              <w:spacing w:line="178" w:lineRule="exact" w:before="27"/>
              <w:ind w:left="69"/>
              <w:rPr>
                <w:sz w:val="16"/>
              </w:rPr>
            </w:pPr>
            <w:r>
              <w:rPr>
                <w:sz w:val="16"/>
              </w:rPr>
              <w:t>Excedente del ejercicio 2024</w:t>
            </w:r>
          </w:p>
        </w:tc>
        <w:tc>
          <w:tcPr>
            <w:tcW w:w="1932" w:type="dxa"/>
          </w:tcPr>
          <w:p>
            <w:pPr>
              <w:pStyle w:val="TableParagraph"/>
              <w:spacing w:line="178" w:lineRule="exact" w:before="27"/>
              <w:ind w:right="57"/>
              <w:jc w:val="right"/>
              <w:rPr>
                <w:sz w:val="16"/>
              </w:rPr>
            </w:pPr>
            <w:r>
              <w:rPr>
                <w:sz w:val="16"/>
              </w:rPr>
              <w:t>25.439.68</w:t>
            </w:r>
          </w:p>
        </w:tc>
      </w:tr>
      <w:tr>
        <w:trPr>
          <w:trHeight w:val="222" w:hRule="atLeast"/>
        </w:trPr>
        <w:tc>
          <w:tcPr>
            <w:tcW w:w="5155" w:type="dxa"/>
          </w:tcPr>
          <w:p>
            <w:pPr>
              <w:pStyle w:val="TableParagraph"/>
              <w:spacing w:line="175" w:lineRule="exact" w:before="27"/>
              <w:ind w:left="69"/>
              <w:rPr>
                <w:sz w:val="16"/>
              </w:rPr>
            </w:pPr>
            <w:r>
              <w:rPr>
                <w:sz w:val="16"/>
              </w:rPr>
              <w:t>Remanente</w:t>
            </w:r>
          </w:p>
        </w:tc>
        <w:tc>
          <w:tcPr>
            <w:tcW w:w="1932" w:type="dxa"/>
          </w:tcPr>
          <w:p>
            <w:pPr>
              <w:pStyle w:val="TableParagraph"/>
              <w:spacing w:before="0"/>
              <w:rPr>
                <w:rFonts w:ascii="Times New Roman"/>
                <w:sz w:val="14"/>
              </w:rPr>
            </w:pPr>
          </w:p>
        </w:tc>
      </w:tr>
      <w:tr>
        <w:trPr>
          <w:trHeight w:val="225" w:hRule="atLeast"/>
        </w:trPr>
        <w:tc>
          <w:tcPr>
            <w:tcW w:w="5155" w:type="dxa"/>
          </w:tcPr>
          <w:p>
            <w:pPr>
              <w:pStyle w:val="TableParagraph"/>
              <w:spacing w:line="175" w:lineRule="exact" w:before="30"/>
              <w:ind w:left="69"/>
              <w:rPr>
                <w:sz w:val="16"/>
              </w:rPr>
            </w:pPr>
            <w:r>
              <w:rPr>
                <w:sz w:val="16"/>
              </w:rPr>
              <w:t>Reservas voluntarias</w:t>
            </w:r>
          </w:p>
        </w:tc>
        <w:tc>
          <w:tcPr>
            <w:tcW w:w="1932" w:type="dxa"/>
          </w:tcPr>
          <w:p>
            <w:pPr>
              <w:pStyle w:val="TableParagraph"/>
              <w:spacing w:before="0"/>
              <w:rPr>
                <w:rFonts w:ascii="Times New Roman"/>
                <w:sz w:val="16"/>
              </w:rPr>
            </w:pPr>
          </w:p>
        </w:tc>
      </w:tr>
      <w:tr>
        <w:trPr>
          <w:trHeight w:val="225" w:hRule="atLeast"/>
        </w:trPr>
        <w:tc>
          <w:tcPr>
            <w:tcW w:w="5155" w:type="dxa"/>
          </w:tcPr>
          <w:p>
            <w:pPr>
              <w:pStyle w:val="TableParagraph"/>
              <w:spacing w:line="175" w:lineRule="exact" w:before="30"/>
              <w:ind w:left="69"/>
              <w:rPr>
                <w:sz w:val="16"/>
              </w:rPr>
            </w:pPr>
            <w:r>
              <w:rPr>
                <w:sz w:val="16"/>
              </w:rPr>
              <w:t>Otras reservas de libre disposición</w:t>
            </w:r>
          </w:p>
        </w:tc>
        <w:tc>
          <w:tcPr>
            <w:tcW w:w="1932" w:type="dxa"/>
          </w:tcPr>
          <w:p>
            <w:pPr>
              <w:pStyle w:val="TableParagraph"/>
              <w:spacing w:before="0"/>
              <w:rPr>
                <w:rFonts w:ascii="Times New Roman"/>
                <w:sz w:val="16"/>
              </w:rPr>
            </w:pPr>
          </w:p>
        </w:tc>
      </w:tr>
      <w:tr>
        <w:trPr>
          <w:trHeight w:val="225" w:hRule="atLeast"/>
        </w:trPr>
        <w:tc>
          <w:tcPr>
            <w:tcW w:w="5155" w:type="dxa"/>
          </w:tcPr>
          <w:p>
            <w:pPr>
              <w:pStyle w:val="TableParagraph"/>
              <w:spacing w:line="175" w:lineRule="exact" w:before="30"/>
              <w:ind w:left="69"/>
              <w:rPr>
                <w:sz w:val="16"/>
              </w:rPr>
            </w:pPr>
            <w:r>
              <w:rPr>
                <w:sz w:val="16"/>
              </w:rPr>
              <w:t>Total</w:t>
            </w:r>
          </w:p>
        </w:tc>
        <w:tc>
          <w:tcPr>
            <w:tcW w:w="1932" w:type="dxa"/>
          </w:tcPr>
          <w:p>
            <w:pPr>
              <w:pStyle w:val="TableParagraph"/>
              <w:spacing w:line="175" w:lineRule="exact" w:before="30"/>
              <w:ind w:right="57"/>
              <w:jc w:val="right"/>
              <w:rPr>
                <w:sz w:val="16"/>
              </w:rPr>
            </w:pPr>
            <w:r>
              <w:rPr>
                <w:sz w:val="16"/>
              </w:rPr>
              <w:t>25.439,68</w:t>
            </w:r>
          </w:p>
        </w:tc>
      </w:tr>
      <w:tr>
        <w:trPr>
          <w:trHeight w:val="225" w:hRule="atLeast"/>
        </w:trPr>
        <w:tc>
          <w:tcPr>
            <w:tcW w:w="5155" w:type="dxa"/>
          </w:tcPr>
          <w:p>
            <w:pPr>
              <w:pStyle w:val="TableParagraph"/>
              <w:spacing w:line="175" w:lineRule="exact" w:before="30"/>
              <w:ind w:left="69"/>
              <w:rPr>
                <w:sz w:val="16"/>
              </w:rPr>
            </w:pPr>
            <w:r>
              <w:rPr>
                <w:sz w:val="16"/>
              </w:rPr>
              <w:t>Aplicación</w:t>
            </w:r>
          </w:p>
        </w:tc>
        <w:tc>
          <w:tcPr>
            <w:tcW w:w="1932" w:type="dxa"/>
          </w:tcPr>
          <w:p>
            <w:pPr>
              <w:pStyle w:val="TableParagraph"/>
              <w:spacing w:line="175" w:lineRule="exact" w:before="30"/>
              <w:ind w:left="700"/>
              <w:rPr>
                <w:sz w:val="16"/>
              </w:rPr>
            </w:pPr>
            <w:r>
              <w:rPr>
                <w:sz w:val="16"/>
              </w:rPr>
              <w:t>Importe</w:t>
            </w:r>
          </w:p>
        </w:tc>
      </w:tr>
      <w:tr>
        <w:trPr>
          <w:trHeight w:val="225" w:hRule="atLeast"/>
        </w:trPr>
        <w:tc>
          <w:tcPr>
            <w:tcW w:w="5155" w:type="dxa"/>
          </w:tcPr>
          <w:p>
            <w:pPr>
              <w:pStyle w:val="TableParagraph"/>
              <w:spacing w:line="175" w:lineRule="exact" w:before="30"/>
              <w:ind w:left="69"/>
              <w:rPr>
                <w:sz w:val="16"/>
              </w:rPr>
            </w:pPr>
            <w:r>
              <w:rPr>
                <w:sz w:val="16"/>
              </w:rPr>
              <w:t>A dotación fundacional/fondo social</w:t>
            </w:r>
          </w:p>
        </w:tc>
        <w:tc>
          <w:tcPr>
            <w:tcW w:w="1932" w:type="dxa"/>
          </w:tcPr>
          <w:p>
            <w:pPr>
              <w:pStyle w:val="TableParagraph"/>
              <w:spacing w:before="0"/>
              <w:rPr>
                <w:rFonts w:ascii="Times New Roman"/>
                <w:sz w:val="16"/>
              </w:rPr>
            </w:pPr>
          </w:p>
        </w:tc>
      </w:tr>
      <w:tr>
        <w:trPr>
          <w:trHeight w:val="225" w:hRule="atLeast"/>
        </w:trPr>
        <w:tc>
          <w:tcPr>
            <w:tcW w:w="5155" w:type="dxa"/>
          </w:tcPr>
          <w:p>
            <w:pPr>
              <w:pStyle w:val="TableParagraph"/>
              <w:spacing w:line="175" w:lineRule="exact" w:before="30"/>
              <w:ind w:left="69"/>
              <w:rPr>
                <w:sz w:val="16"/>
              </w:rPr>
            </w:pPr>
            <w:r>
              <w:rPr>
                <w:sz w:val="16"/>
              </w:rPr>
              <w:t>A Remanente</w:t>
            </w:r>
          </w:p>
        </w:tc>
        <w:tc>
          <w:tcPr>
            <w:tcW w:w="1932" w:type="dxa"/>
          </w:tcPr>
          <w:p>
            <w:pPr>
              <w:pStyle w:val="TableParagraph"/>
              <w:spacing w:before="0"/>
              <w:rPr>
                <w:rFonts w:ascii="Times New Roman"/>
                <w:sz w:val="16"/>
              </w:rPr>
            </w:pPr>
          </w:p>
        </w:tc>
      </w:tr>
      <w:tr>
        <w:trPr>
          <w:trHeight w:val="225" w:hRule="atLeast"/>
        </w:trPr>
        <w:tc>
          <w:tcPr>
            <w:tcW w:w="5155" w:type="dxa"/>
          </w:tcPr>
          <w:p>
            <w:pPr>
              <w:pStyle w:val="TableParagraph"/>
              <w:spacing w:line="178" w:lineRule="exact" w:before="27"/>
              <w:ind w:left="69"/>
              <w:rPr>
                <w:sz w:val="16"/>
              </w:rPr>
            </w:pPr>
            <w:r>
              <w:rPr>
                <w:sz w:val="16"/>
              </w:rPr>
              <w:t>A reservas voluntarias</w:t>
            </w:r>
          </w:p>
        </w:tc>
        <w:tc>
          <w:tcPr>
            <w:tcW w:w="1932" w:type="dxa"/>
          </w:tcPr>
          <w:p>
            <w:pPr>
              <w:pStyle w:val="TableParagraph"/>
              <w:spacing w:before="0"/>
              <w:rPr>
                <w:rFonts w:ascii="Times New Roman"/>
                <w:sz w:val="16"/>
              </w:rPr>
            </w:pPr>
          </w:p>
        </w:tc>
      </w:tr>
      <w:tr>
        <w:trPr>
          <w:trHeight w:val="225" w:hRule="atLeast"/>
        </w:trPr>
        <w:tc>
          <w:tcPr>
            <w:tcW w:w="5155" w:type="dxa"/>
          </w:tcPr>
          <w:p>
            <w:pPr>
              <w:pStyle w:val="TableParagraph"/>
              <w:spacing w:line="178" w:lineRule="exact" w:before="27"/>
              <w:ind w:left="69"/>
              <w:rPr>
                <w:sz w:val="16"/>
              </w:rPr>
            </w:pPr>
            <w:r>
              <w:rPr>
                <w:sz w:val="16"/>
              </w:rPr>
              <w:t>A Compensar resultados negativos de ejercicios anteriores.</w:t>
            </w:r>
          </w:p>
        </w:tc>
        <w:tc>
          <w:tcPr>
            <w:tcW w:w="1932" w:type="dxa"/>
          </w:tcPr>
          <w:p>
            <w:pPr>
              <w:pStyle w:val="TableParagraph"/>
              <w:spacing w:line="178" w:lineRule="exact" w:before="27"/>
              <w:ind w:right="57"/>
              <w:jc w:val="right"/>
              <w:rPr>
                <w:sz w:val="16"/>
              </w:rPr>
            </w:pPr>
            <w:r>
              <w:rPr>
                <w:sz w:val="16"/>
              </w:rPr>
              <w:t>25.439,68</w:t>
            </w:r>
          </w:p>
        </w:tc>
      </w:tr>
      <w:tr>
        <w:trPr>
          <w:trHeight w:val="225" w:hRule="atLeast"/>
        </w:trPr>
        <w:tc>
          <w:tcPr>
            <w:tcW w:w="5155" w:type="dxa"/>
          </w:tcPr>
          <w:p>
            <w:pPr>
              <w:pStyle w:val="TableParagraph"/>
              <w:spacing w:line="178" w:lineRule="exact" w:before="27"/>
              <w:ind w:left="69"/>
              <w:rPr>
                <w:sz w:val="16"/>
              </w:rPr>
            </w:pPr>
            <w:r>
              <w:rPr>
                <w:sz w:val="16"/>
              </w:rPr>
              <w:t>Total</w:t>
            </w:r>
          </w:p>
        </w:tc>
        <w:tc>
          <w:tcPr>
            <w:tcW w:w="1932" w:type="dxa"/>
          </w:tcPr>
          <w:p>
            <w:pPr>
              <w:pStyle w:val="TableParagraph"/>
              <w:spacing w:line="178" w:lineRule="exact" w:before="27"/>
              <w:ind w:right="57"/>
              <w:jc w:val="right"/>
              <w:rPr>
                <w:sz w:val="16"/>
              </w:rPr>
            </w:pPr>
            <w:r>
              <w:rPr>
                <w:sz w:val="16"/>
              </w:rPr>
              <w:t>25.439,68</w:t>
            </w:r>
          </w:p>
        </w:tc>
      </w:tr>
    </w:tbl>
    <w:p>
      <w:pPr>
        <w:spacing w:after="0" w:line="178" w:lineRule="exact"/>
        <w:jc w:val="right"/>
        <w:rPr>
          <w:sz w:val="16"/>
        </w:rPr>
        <w:sectPr>
          <w:pgSz w:w="11900" w:h="16840"/>
          <w:pgMar w:header="739" w:footer="767" w:top="1600" w:bottom="960" w:left="1580" w:right="660"/>
        </w:sectPr>
      </w:pPr>
    </w:p>
    <w:p>
      <w:pPr>
        <w:pStyle w:val="BodyText"/>
        <w:spacing w:before="2"/>
        <w:rPr>
          <w:sz w:val="18"/>
        </w:rPr>
      </w:pPr>
    </w:p>
    <w:p>
      <w:pPr>
        <w:pStyle w:val="BodyText"/>
        <w:spacing w:line="273" w:lineRule="auto" w:before="61"/>
        <w:ind w:left="121" w:right="1031"/>
      </w:pPr>
      <w:r>
        <w:rPr/>
        <w:t>La información sobre la propuesta de aplicación del excedente del ejercicio anterior, se detalla en el siguiente cuadro:</w:t>
      </w:r>
    </w:p>
    <w:p>
      <w:pPr>
        <w:pStyle w:val="BodyText"/>
        <w:spacing w:before="6"/>
        <w:rPr>
          <w:sz w:val="16"/>
        </w:rPr>
      </w:pPr>
    </w:p>
    <w:tbl>
      <w:tblPr>
        <w:tblW w:w="0" w:type="auto"/>
        <w:jc w:val="left"/>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55"/>
        <w:gridCol w:w="1932"/>
      </w:tblGrid>
      <w:tr>
        <w:trPr>
          <w:trHeight w:val="225" w:hRule="atLeast"/>
        </w:trPr>
        <w:tc>
          <w:tcPr>
            <w:tcW w:w="5155" w:type="dxa"/>
          </w:tcPr>
          <w:p>
            <w:pPr>
              <w:pStyle w:val="TableParagraph"/>
              <w:spacing w:line="175" w:lineRule="exact" w:before="30"/>
              <w:ind w:left="69"/>
              <w:rPr>
                <w:sz w:val="16"/>
              </w:rPr>
            </w:pPr>
            <w:r>
              <w:rPr>
                <w:sz w:val="16"/>
              </w:rPr>
              <w:t>Base de reparto</w:t>
            </w:r>
          </w:p>
        </w:tc>
        <w:tc>
          <w:tcPr>
            <w:tcW w:w="1932" w:type="dxa"/>
          </w:tcPr>
          <w:p>
            <w:pPr>
              <w:pStyle w:val="TableParagraph"/>
              <w:spacing w:line="175" w:lineRule="exact" w:before="30"/>
              <w:ind w:left="680" w:right="675"/>
              <w:jc w:val="center"/>
              <w:rPr>
                <w:sz w:val="16"/>
              </w:rPr>
            </w:pPr>
            <w:r>
              <w:rPr>
                <w:sz w:val="16"/>
              </w:rPr>
              <w:t>Importe</w:t>
            </w:r>
          </w:p>
        </w:tc>
      </w:tr>
      <w:tr>
        <w:trPr>
          <w:trHeight w:val="225" w:hRule="atLeast"/>
        </w:trPr>
        <w:tc>
          <w:tcPr>
            <w:tcW w:w="5155" w:type="dxa"/>
          </w:tcPr>
          <w:p>
            <w:pPr>
              <w:pStyle w:val="TableParagraph"/>
              <w:spacing w:line="175" w:lineRule="exact" w:before="30"/>
              <w:ind w:left="69"/>
              <w:rPr>
                <w:sz w:val="16"/>
              </w:rPr>
            </w:pPr>
            <w:r>
              <w:rPr>
                <w:sz w:val="16"/>
              </w:rPr>
              <w:t>Excedente del ejercicio 2023</w:t>
            </w:r>
          </w:p>
        </w:tc>
        <w:tc>
          <w:tcPr>
            <w:tcW w:w="1932" w:type="dxa"/>
          </w:tcPr>
          <w:p>
            <w:pPr>
              <w:pStyle w:val="TableParagraph"/>
              <w:spacing w:line="175" w:lineRule="exact" w:before="30"/>
              <w:ind w:right="57"/>
              <w:jc w:val="right"/>
              <w:rPr>
                <w:sz w:val="16"/>
              </w:rPr>
            </w:pPr>
            <w:r>
              <w:rPr>
                <w:sz w:val="16"/>
              </w:rPr>
              <w:t>-21.313,74</w:t>
            </w:r>
          </w:p>
        </w:tc>
      </w:tr>
      <w:tr>
        <w:trPr>
          <w:trHeight w:val="225" w:hRule="atLeast"/>
        </w:trPr>
        <w:tc>
          <w:tcPr>
            <w:tcW w:w="5155" w:type="dxa"/>
          </w:tcPr>
          <w:p>
            <w:pPr>
              <w:pStyle w:val="TableParagraph"/>
              <w:spacing w:line="175" w:lineRule="exact" w:before="30"/>
              <w:ind w:left="69"/>
              <w:rPr>
                <w:sz w:val="16"/>
              </w:rPr>
            </w:pPr>
            <w:r>
              <w:rPr>
                <w:sz w:val="16"/>
              </w:rPr>
              <w:t>Remanente</w:t>
            </w:r>
          </w:p>
        </w:tc>
        <w:tc>
          <w:tcPr>
            <w:tcW w:w="1932" w:type="dxa"/>
          </w:tcPr>
          <w:p>
            <w:pPr>
              <w:pStyle w:val="TableParagraph"/>
              <w:spacing w:before="0"/>
              <w:rPr>
                <w:rFonts w:ascii="Times New Roman"/>
                <w:sz w:val="16"/>
              </w:rPr>
            </w:pPr>
          </w:p>
        </w:tc>
      </w:tr>
      <w:tr>
        <w:trPr>
          <w:trHeight w:val="225" w:hRule="atLeast"/>
        </w:trPr>
        <w:tc>
          <w:tcPr>
            <w:tcW w:w="5155" w:type="dxa"/>
          </w:tcPr>
          <w:p>
            <w:pPr>
              <w:pStyle w:val="TableParagraph"/>
              <w:spacing w:line="175" w:lineRule="exact" w:before="30"/>
              <w:ind w:left="69"/>
              <w:rPr>
                <w:sz w:val="16"/>
              </w:rPr>
            </w:pPr>
            <w:r>
              <w:rPr>
                <w:sz w:val="16"/>
              </w:rPr>
              <w:t>Reservas voluntarias</w:t>
            </w:r>
          </w:p>
        </w:tc>
        <w:tc>
          <w:tcPr>
            <w:tcW w:w="1932" w:type="dxa"/>
          </w:tcPr>
          <w:p>
            <w:pPr>
              <w:pStyle w:val="TableParagraph"/>
              <w:spacing w:before="0"/>
              <w:rPr>
                <w:rFonts w:ascii="Times New Roman"/>
                <w:sz w:val="16"/>
              </w:rPr>
            </w:pPr>
          </w:p>
        </w:tc>
      </w:tr>
      <w:tr>
        <w:trPr>
          <w:trHeight w:val="225" w:hRule="atLeast"/>
        </w:trPr>
        <w:tc>
          <w:tcPr>
            <w:tcW w:w="5155" w:type="dxa"/>
          </w:tcPr>
          <w:p>
            <w:pPr>
              <w:pStyle w:val="TableParagraph"/>
              <w:spacing w:line="175" w:lineRule="exact" w:before="30"/>
              <w:ind w:left="69"/>
              <w:rPr>
                <w:sz w:val="16"/>
              </w:rPr>
            </w:pPr>
            <w:r>
              <w:rPr>
                <w:sz w:val="16"/>
              </w:rPr>
              <w:t>Otras reservas de libre disposición</w:t>
            </w:r>
          </w:p>
        </w:tc>
        <w:tc>
          <w:tcPr>
            <w:tcW w:w="1932" w:type="dxa"/>
          </w:tcPr>
          <w:p>
            <w:pPr>
              <w:pStyle w:val="TableParagraph"/>
              <w:spacing w:before="0"/>
              <w:rPr>
                <w:rFonts w:ascii="Times New Roman"/>
                <w:sz w:val="16"/>
              </w:rPr>
            </w:pPr>
          </w:p>
        </w:tc>
      </w:tr>
      <w:tr>
        <w:trPr>
          <w:trHeight w:val="225" w:hRule="atLeast"/>
        </w:trPr>
        <w:tc>
          <w:tcPr>
            <w:tcW w:w="5155" w:type="dxa"/>
          </w:tcPr>
          <w:p>
            <w:pPr>
              <w:pStyle w:val="TableParagraph"/>
              <w:spacing w:line="178" w:lineRule="exact" w:before="27"/>
              <w:ind w:left="69"/>
              <w:rPr>
                <w:sz w:val="16"/>
              </w:rPr>
            </w:pPr>
            <w:r>
              <w:rPr>
                <w:sz w:val="16"/>
              </w:rPr>
              <w:t>Total</w:t>
            </w:r>
          </w:p>
        </w:tc>
        <w:tc>
          <w:tcPr>
            <w:tcW w:w="1932" w:type="dxa"/>
          </w:tcPr>
          <w:p>
            <w:pPr>
              <w:pStyle w:val="TableParagraph"/>
              <w:spacing w:line="178" w:lineRule="exact" w:before="27"/>
              <w:ind w:right="57"/>
              <w:jc w:val="right"/>
              <w:rPr>
                <w:sz w:val="16"/>
              </w:rPr>
            </w:pPr>
            <w:r>
              <w:rPr>
                <w:sz w:val="16"/>
              </w:rPr>
              <w:t>-21.313,74</w:t>
            </w:r>
          </w:p>
        </w:tc>
      </w:tr>
    </w:tbl>
    <w:p>
      <w:pPr>
        <w:pStyle w:val="BodyText"/>
        <w:spacing w:before="5" w:after="1"/>
        <w:rPr>
          <w:sz w:val="18"/>
        </w:rPr>
      </w:pPr>
    </w:p>
    <w:tbl>
      <w:tblPr>
        <w:tblW w:w="0" w:type="auto"/>
        <w:jc w:val="left"/>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55"/>
        <w:gridCol w:w="1932"/>
      </w:tblGrid>
      <w:tr>
        <w:trPr>
          <w:trHeight w:val="225" w:hRule="atLeast"/>
        </w:trPr>
        <w:tc>
          <w:tcPr>
            <w:tcW w:w="5155" w:type="dxa"/>
          </w:tcPr>
          <w:p>
            <w:pPr>
              <w:pStyle w:val="TableParagraph"/>
              <w:spacing w:line="178" w:lineRule="exact" w:before="27"/>
              <w:ind w:left="69"/>
              <w:rPr>
                <w:sz w:val="16"/>
              </w:rPr>
            </w:pPr>
            <w:r>
              <w:rPr>
                <w:sz w:val="16"/>
              </w:rPr>
              <w:t>Aplicación</w:t>
            </w:r>
          </w:p>
        </w:tc>
        <w:tc>
          <w:tcPr>
            <w:tcW w:w="1932" w:type="dxa"/>
          </w:tcPr>
          <w:p>
            <w:pPr>
              <w:pStyle w:val="TableParagraph"/>
              <w:spacing w:line="178" w:lineRule="exact" w:before="27"/>
              <w:ind w:left="680" w:right="675"/>
              <w:jc w:val="center"/>
              <w:rPr>
                <w:sz w:val="16"/>
              </w:rPr>
            </w:pPr>
            <w:r>
              <w:rPr>
                <w:sz w:val="16"/>
              </w:rPr>
              <w:t>Importe</w:t>
            </w:r>
          </w:p>
        </w:tc>
      </w:tr>
      <w:tr>
        <w:trPr>
          <w:trHeight w:val="225" w:hRule="atLeast"/>
        </w:trPr>
        <w:tc>
          <w:tcPr>
            <w:tcW w:w="5155" w:type="dxa"/>
          </w:tcPr>
          <w:p>
            <w:pPr>
              <w:pStyle w:val="TableParagraph"/>
              <w:spacing w:line="178" w:lineRule="exact" w:before="27"/>
              <w:ind w:left="69"/>
              <w:rPr>
                <w:sz w:val="16"/>
              </w:rPr>
            </w:pPr>
            <w:r>
              <w:rPr>
                <w:sz w:val="16"/>
              </w:rPr>
              <w:t>A dotación fundacional/fondo social</w:t>
            </w:r>
          </w:p>
        </w:tc>
        <w:tc>
          <w:tcPr>
            <w:tcW w:w="1932" w:type="dxa"/>
          </w:tcPr>
          <w:p>
            <w:pPr>
              <w:pStyle w:val="TableParagraph"/>
              <w:spacing w:before="0"/>
              <w:rPr>
                <w:rFonts w:ascii="Times New Roman"/>
                <w:sz w:val="16"/>
              </w:rPr>
            </w:pPr>
          </w:p>
        </w:tc>
      </w:tr>
      <w:tr>
        <w:trPr>
          <w:trHeight w:val="222" w:hRule="atLeast"/>
        </w:trPr>
        <w:tc>
          <w:tcPr>
            <w:tcW w:w="5155" w:type="dxa"/>
          </w:tcPr>
          <w:p>
            <w:pPr>
              <w:pStyle w:val="TableParagraph"/>
              <w:spacing w:line="175" w:lineRule="exact" w:before="27"/>
              <w:ind w:left="69"/>
              <w:rPr>
                <w:sz w:val="16"/>
              </w:rPr>
            </w:pPr>
            <w:r>
              <w:rPr>
                <w:sz w:val="16"/>
              </w:rPr>
              <w:t>A Remanente</w:t>
            </w:r>
          </w:p>
        </w:tc>
        <w:tc>
          <w:tcPr>
            <w:tcW w:w="1932" w:type="dxa"/>
          </w:tcPr>
          <w:p>
            <w:pPr>
              <w:pStyle w:val="TableParagraph"/>
              <w:spacing w:before="0"/>
              <w:rPr>
                <w:rFonts w:ascii="Times New Roman"/>
                <w:sz w:val="14"/>
              </w:rPr>
            </w:pPr>
          </w:p>
        </w:tc>
      </w:tr>
      <w:tr>
        <w:trPr>
          <w:trHeight w:val="225" w:hRule="atLeast"/>
        </w:trPr>
        <w:tc>
          <w:tcPr>
            <w:tcW w:w="5155" w:type="dxa"/>
          </w:tcPr>
          <w:p>
            <w:pPr>
              <w:pStyle w:val="TableParagraph"/>
              <w:spacing w:line="175" w:lineRule="exact" w:before="30"/>
              <w:ind w:left="69"/>
              <w:rPr>
                <w:sz w:val="16"/>
              </w:rPr>
            </w:pPr>
            <w:r>
              <w:rPr>
                <w:sz w:val="16"/>
              </w:rPr>
              <w:t>A reservas especiales</w:t>
            </w:r>
          </w:p>
        </w:tc>
        <w:tc>
          <w:tcPr>
            <w:tcW w:w="1932" w:type="dxa"/>
          </w:tcPr>
          <w:p>
            <w:pPr>
              <w:pStyle w:val="TableParagraph"/>
              <w:spacing w:before="0"/>
              <w:rPr>
                <w:rFonts w:ascii="Times New Roman"/>
                <w:sz w:val="16"/>
              </w:rPr>
            </w:pPr>
          </w:p>
        </w:tc>
      </w:tr>
      <w:tr>
        <w:trPr>
          <w:trHeight w:val="225" w:hRule="atLeast"/>
        </w:trPr>
        <w:tc>
          <w:tcPr>
            <w:tcW w:w="5155" w:type="dxa"/>
          </w:tcPr>
          <w:p>
            <w:pPr>
              <w:pStyle w:val="TableParagraph"/>
              <w:spacing w:line="175" w:lineRule="exact" w:before="30"/>
              <w:ind w:left="69"/>
              <w:rPr>
                <w:sz w:val="16"/>
              </w:rPr>
            </w:pPr>
            <w:r>
              <w:rPr>
                <w:sz w:val="16"/>
              </w:rPr>
              <w:t>A reservas voluntarias</w:t>
            </w:r>
          </w:p>
        </w:tc>
        <w:tc>
          <w:tcPr>
            <w:tcW w:w="1932" w:type="dxa"/>
          </w:tcPr>
          <w:p>
            <w:pPr>
              <w:pStyle w:val="TableParagraph"/>
              <w:spacing w:before="0"/>
              <w:rPr>
                <w:rFonts w:ascii="Times New Roman"/>
                <w:sz w:val="16"/>
              </w:rPr>
            </w:pPr>
          </w:p>
        </w:tc>
      </w:tr>
      <w:tr>
        <w:trPr>
          <w:trHeight w:val="225" w:hRule="atLeast"/>
        </w:trPr>
        <w:tc>
          <w:tcPr>
            <w:tcW w:w="5155" w:type="dxa"/>
          </w:tcPr>
          <w:p>
            <w:pPr>
              <w:pStyle w:val="TableParagraph"/>
              <w:spacing w:line="175" w:lineRule="exact" w:before="30"/>
              <w:ind w:left="69"/>
              <w:rPr>
                <w:sz w:val="16"/>
              </w:rPr>
            </w:pPr>
            <w:r>
              <w:rPr>
                <w:sz w:val="16"/>
              </w:rPr>
              <w:t>A excedente negativos del ejercicio 2023</w:t>
            </w:r>
          </w:p>
        </w:tc>
        <w:tc>
          <w:tcPr>
            <w:tcW w:w="1932" w:type="dxa"/>
          </w:tcPr>
          <w:p>
            <w:pPr>
              <w:pStyle w:val="TableParagraph"/>
              <w:spacing w:line="175" w:lineRule="exact" w:before="30"/>
              <w:ind w:right="57"/>
              <w:jc w:val="right"/>
              <w:rPr>
                <w:sz w:val="16"/>
              </w:rPr>
            </w:pPr>
            <w:r>
              <w:rPr>
                <w:sz w:val="16"/>
              </w:rPr>
              <w:t>-21.313,74</w:t>
            </w:r>
          </w:p>
        </w:tc>
      </w:tr>
      <w:tr>
        <w:trPr>
          <w:trHeight w:val="225" w:hRule="atLeast"/>
        </w:trPr>
        <w:tc>
          <w:tcPr>
            <w:tcW w:w="5155" w:type="dxa"/>
          </w:tcPr>
          <w:p>
            <w:pPr>
              <w:pStyle w:val="TableParagraph"/>
              <w:spacing w:line="175" w:lineRule="exact" w:before="30"/>
              <w:ind w:left="69"/>
              <w:rPr>
                <w:sz w:val="16"/>
              </w:rPr>
            </w:pPr>
            <w:r>
              <w:rPr>
                <w:sz w:val="16"/>
              </w:rPr>
              <w:t>Total</w:t>
            </w:r>
          </w:p>
        </w:tc>
        <w:tc>
          <w:tcPr>
            <w:tcW w:w="1932" w:type="dxa"/>
          </w:tcPr>
          <w:p>
            <w:pPr>
              <w:pStyle w:val="TableParagraph"/>
              <w:spacing w:line="175" w:lineRule="exact" w:before="30"/>
              <w:ind w:right="57"/>
              <w:jc w:val="right"/>
              <w:rPr>
                <w:sz w:val="16"/>
              </w:rPr>
            </w:pPr>
            <w:r>
              <w:rPr>
                <w:sz w:val="16"/>
              </w:rPr>
              <w:t>-21.313,74</w:t>
            </w:r>
          </w:p>
        </w:tc>
      </w:tr>
    </w:tbl>
    <w:p>
      <w:pPr>
        <w:pStyle w:val="BodyText"/>
        <w:rPr>
          <w:sz w:val="18"/>
        </w:rPr>
      </w:pPr>
    </w:p>
    <w:p>
      <w:pPr>
        <w:pStyle w:val="BodyText"/>
        <w:rPr>
          <w:sz w:val="18"/>
        </w:rPr>
      </w:pPr>
    </w:p>
    <w:p>
      <w:pPr>
        <w:pStyle w:val="Heading1"/>
        <w:numPr>
          <w:ilvl w:val="0"/>
          <w:numId w:val="3"/>
        </w:numPr>
        <w:tabs>
          <w:tab w:pos="400" w:val="left" w:leader="none"/>
        </w:tabs>
        <w:spacing w:line="240" w:lineRule="auto" w:before="153" w:after="0"/>
        <w:ind w:left="400" w:right="0" w:hanging="279"/>
        <w:jc w:val="left"/>
      </w:pPr>
      <w:r>
        <w:rPr/>
        <w:t>NORMAS DE REGISTRO Y</w:t>
      </w:r>
      <w:r>
        <w:rPr>
          <w:spacing w:val="-6"/>
        </w:rPr>
        <w:t> </w:t>
      </w:r>
      <w:r>
        <w:rPr/>
        <w:t>VALORACION.</w:t>
      </w:r>
    </w:p>
    <w:p>
      <w:pPr>
        <w:pStyle w:val="BodyText"/>
        <w:spacing w:before="9"/>
        <w:rPr>
          <w:b/>
          <w:sz w:val="20"/>
        </w:rPr>
      </w:pPr>
    </w:p>
    <w:p>
      <w:pPr>
        <w:pStyle w:val="Heading3"/>
        <w:numPr>
          <w:ilvl w:val="0"/>
          <w:numId w:val="4"/>
        </w:numPr>
        <w:tabs>
          <w:tab w:pos="352" w:val="left" w:leader="none"/>
        </w:tabs>
        <w:spacing w:line="240" w:lineRule="auto" w:before="0" w:after="0"/>
        <w:ind w:left="352" w:right="0" w:hanging="231"/>
        <w:jc w:val="left"/>
      </w:pPr>
      <w:r>
        <w:rPr/>
        <w:t>Inmovilizado</w:t>
      </w:r>
      <w:r>
        <w:rPr>
          <w:spacing w:val="-2"/>
        </w:rPr>
        <w:t> </w:t>
      </w:r>
      <w:r>
        <w:rPr/>
        <w:t>intangible.</w:t>
      </w:r>
    </w:p>
    <w:p>
      <w:pPr>
        <w:pStyle w:val="BodyText"/>
        <w:spacing w:before="1"/>
        <w:rPr>
          <w:b/>
          <w:sz w:val="24"/>
        </w:rPr>
      </w:pPr>
    </w:p>
    <w:p>
      <w:pPr>
        <w:pStyle w:val="ListParagraph"/>
        <w:numPr>
          <w:ilvl w:val="0"/>
          <w:numId w:val="5"/>
        </w:numPr>
        <w:tabs>
          <w:tab w:pos="307" w:val="left" w:leader="none"/>
        </w:tabs>
        <w:spacing w:line="273" w:lineRule="auto" w:before="1" w:after="0"/>
        <w:ind w:left="121" w:right="1031" w:firstLine="0"/>
        <w:jc w:val="both"/>
        <w:rPr>
          <w:sz w:val="19"/>
        </w:rPr>
      </w:pPr>
      <w:r>
        <w:rPr>
          <w:sz w:val="19"/>
        </w:rPr>
        <w:t>El Inmovilizado Intangible se valora inicialmente por su coste, ya sea éste el precio de adquisición o el coste de producción. Después del reconocimiento inicial, se valora por su coste menos la amortización acumulada  y, en su caso, el importe acumulado de las correcciones por deterioro</w:t>
      </w:r>
      <w:r>
        <w:rPr>
          <w:spacing w:val="-7"/>
          <w:sz w:val="19"/>
        </w:rPr>
        <w:t> </w:t>
      </w:r>
      <w:r>
        <w:rPr>
          <w:sz w:val="19"/>
        </w:rPr>
        <w:t>registradas.</w:t>
      </w:r>
    </w:p>
    <w:p>
      <w:pPr>
        <w:pStyle w:val="BodyText"/>
        <w:spacing w:before="9"/>
        <w:rPr>
          <w:sz w:val="16"/>
        </w:rPr>
      </w:pPr>
    </w:p>
    <w:p>
      <w:pPr>
        <w:pStyle w:val="ListParagraph"/>
        <w:numPr>
          <w:ilvl w:val="0"/>
          <w:numId w:val="5"/>
        </w:numPr>
        <w:tabs>
          <w:tab w:pos="324" w:val="left" w:leader="none"/>
        </w:tabs>
        <w:spacing w:line="276" w:lineRule="auto" w:before="1" w:after="0"/>
        <w:ind w:left="121" w:right="1031" w:firstLine="0"/>
        <w:jc w:val="both"/>
        <w:rPr>
          <w:sz w:val="19"/>
        </w:rPr>
      </w:pPr>
      <w:r>
        <w:rPr>
          <w:sz w:val="19"/>
        </w:rPr>
        <w:t>Los bienes registrados en este apartado cumplen el criterio de identificabilidad, de forma que constituyen inmovilizados separables o surgen de derechos legales o contractuales. Se trata de inmovilizados intangibles con vida definida y por tanto se practican amortizaciones por el método lineal, no habiéndose registrado correcciones valorativas por deterioro para ninguno de</w:t>
      </w:r>
      <w:r>
        <w:rPr>
          <w:spacing w:val="-8"/>
          <w:sz w:val="19"/>
        </w:rPr>
        <w:t> </w:t>
      </w:r>
      <w:r>
        <w:rPr>
          <w:sz w:val="19"/>
        </w:rPr>
        <w:t>ellos.</w:t>
      </w:r>
    </w:p>
    <w:p>
      <w:pPr>
        <w:pStyle w:val="BodyText"/>
        <w:spacing w:before="2"/>
        <w:rPr>
          <w:sz w:val="16"/>
        </w:rPr>
      </w:pPr>
    </w:p>
    <w:p>
      <w:pPr>
        <w:pStyle w:val="BodyText"/>
        <w:ind w:left="829"/>
      </w:pPr>
      <w:r>
        <w:rPr/>
        <w:t>Los coeficientes aplicados en las dotaciones anuales a la amortización son los siguientes:</w:t>
      </w:r>
    </w:p>
    <w:p>
      <w:pPr>
        <w:pStyle w:val="BodyText"/>
        <w:spacing w:before="2"/>
        <w:rPr>
          <w:sz w:val="16"/>
        </w:rPr>
      </w:pPr>
      <w:r>
        <w:rPr/>
        <w:pict>
          <v:group style="position:absolute;margin-left:177pt;margin-top:11.870651pt;width:234.4pt;height:13.2pt;mso-position-horizontal-relative:page;mso-position-vertical-relative:paragraph;z-index:-251629568;mso-wrap-distance-left:0;mso-wrap-distance-right:0" coordorigin="3540,237" coordsize="4688,264">
            <v:shape style="position:absolute;left:6945;top:242;width:1277;height:255" type="#_x0000_t202" filled="false" stroked="true" strokeweight=".48pt" strokecolor="#000000">
              <v:textbox inset="0,0,0,0">
                <w:txbxContent>
                  <w:p>
                    <w:pPr>
                      <w:spacing w:line="243" w:lineRule="exact" w:before="1"/>
                      <w:ind w:left="0" w:right="66" w:firstLine="0"/>
                      <w:jc w:val="right"/>
                      <w:rPr>
                        <w:sz w:val="20"/>
                      </w:rPr>
                    </w:pPr>
                    <w:r>
                      <w:rPr>
                        <w:w w:val="95"/>
                        <w:sz w:val="20"/>
                      </w:rPr>
                      <w:t>33%</w:t>
                    </w:r>
                  </w:p>
                </w:txbxContent>
              </v:textbox>
              <v:stroke dashstyle="solid"/>
              <w10:wrap type="none"/>
            </v:shape>
            <v:shape style="position:absolute;left:3544;top:242;width:3401;height:255" type="#_x0000_t202" filled="false" stroked="true" strokeweight=".48pt" strokecolor="#000000">
              <v:textbox inset="0,0,0,0">
                <w:txbxContent>
                  <w:p>
                    <w:pPr>
                      <w:spacing w:line="243" w:lineRule="exact" w:before="1"/>
                      <w:ind w:left="64" w:right="0" w:firstLine="0"/>
                      <w:jc w:val="left"/>
                      <w:rPr>
                        <w:sz w:val="20"/>
                      </w:rPr>
                    </w:pPr>
                    <w:r>
                      <w:rPr>
                        <w:sz w:val="20"/>
                      </w:rPr>
                      <w:t>Aplicaciones informáticas</w:t>
                    </w:r>
                  </w:p>
                </w:txbxContent>
              </v:textbox>
              <v:stroke dashstyle="solid"/>
              <w10:wrap type="none"/>
            </v:shape>
            <w10:wrap type="topAndBottom"/>
          </v:group>
        </w:pict>
      </w:r>
    </w:p>
    <w:p>
      <w:pPr>
        <w:pStyle w:val="BodyText"/>
        <w:spacing w:before="1"/>
        <w:rPr>
          <w:sz w:val="16"/>
        </w:rPr>
      </w:pPr>
    </w:p>
    <w:p>
      <w:pPr>
        <w:pStyle w:val="Heading3"/>
        <w:numPr>
          <w:ilvl w:val="0"/>
          <w:numId w:val="4"/>
        </w:numPr>
        <w:tabs>
          <w:tab w:pos="352" w:val="left" w:leader="none"/>
        </w:tabs>
        <w:spacing w:line="240" w:lineRule="auto" w:before="54" w:after="0"/>
        <w:ind w:left="352" w:right="0" w:hanging="231"/>
        <w:jc w:val="both"/>
      </w:pPr>
      <w:r>
        <w:rPr/>
        <w:t>Inmovilizado</w:t>
      </w:r>
      <w:r>
        <w:rPr>
          <w:spacing w:val="-2"/>
        </w:rPr>
        <w:t> </w:t>
      </w:r>
      <w:r>
        <w:rPr/>
        <w:t>material.</w:t>
      </w:r>
    </w:p>
    <w:p>
      <w:pPr>
        <w:pStyle w:val="BodyText"/>
        <w:rPr>
          <w:b/>
          <w:sz w:val="23"/>
        </w:rPr>
      </w:pPr>
    </w:p>
    <w:p>
      <w:pPr>
        <w:pStyle w:val="ListParagraph"/>
        <w:numPr>
          <w:ilvl w:val="0"/>
          <w:numId w:val="6"/>
        </w:numPr>
        <w:tabs>
          <w:tab w:pos="482" w:val="left" w:leader="none"/>
        </w:tabs>
        <w:spacing w:line="240" w:lineRule="auto" w:before="0" w:after="0"/>
        <w:ind w:left="121" w:right="1029" w:firstLine="0"/>
        <w:jc w:val="both"/>
        <w:rPr>
          <w:sz w:val="19"/>
        </w:rPr>
      </w:pPr>
      <w:r>
        <w:rPr>
          <w:sz w:val="19"/>
        </w:rPr>
        <w:t>Los bienes comprendidos en el Inmovilizado Material se encuentran valorados por su precio de adquisición (o coste de producción si excepcionalmente la Fundación fabricara algo para sí misma), menos la correspondiente amortización acumulada y, en su caso, el importe acumulado de las correcciones valorativas por deterioro reconocidas. El precio de adquisición incluye, además del importe facturado por el vendedor después de deducir cualquier descuento o rebaja en el precio, todos los gastos adicionales y directamente relacionados que se produzcan hasta su puesta en condiciones de funcionamiento. En el caso de inmovilizados que necesiten un período de tiempo superior a un año para estar en condiciones de uso, se incluye en el precio de adquisición o coste de producción los gastos financieros que se hayan devengado antes de la puesta en condiciones de funcionamiento del inmovilizado material y que hayan sido girados por el proveedor o correspondan a préstamos u otro tipo de financiación ajena, específica o genérica, directamente atribuible a la adquisición, fabricación o</w:t>
      </w:r>
      <w:r>
        <w:rPr>
          <w:spacing w:val="-1"/>
          <w:sz w:val="19"/>
        </w:rPr>
        <w:t> </w:t>
      </w:r>
      <w:r>
        <w:rPr>
          <w:sz w:val="19"/>
        </w:rPr>
        <w:t>construcción.</w:t>
      </w:r>
    </w:p>
    <w:p>
      <w:pPr>
        <w:pStyle w:val="BodyText"/>
        <w:rPr>
          <w:sz w:val="24"/>
        </w:rPr>
      </w:pPr>
    </w:p>
    <w:p>
      <w:pPr>
        <w:pStyle w:val="ListParagraph"/>
        <w:numPr>
          <w:ilvl w:val="0"/>
          <w:numId w:val="6"/>
        </w:numPr>
        <w:tabs>
          <w:tab w:pos="482" w:val="left" w:leader="none"/>
        </w:tabs>
        <w:spacing w:line="240" w:lineRule="auto" w:before="0" w:after="0"/>
        <w:ind w:left="121" w:right="1030" w:firstLine="0"/>
        <w:jc w:val="both"/>
        <w:rPr>
          <w:sz w:val="19"/>
        </w:rPr>
      </w:pPr>
      <w:r>
        <w:rPr>
          <w:sz w:val="19"/>
        </w:rPr>
        <w:t>La Fundación no tiene compromisos de desmantelamiento, retiro o rehabilitación para sus bienes de activo. Por ello no se han contabilizado en los activos valores para la cobertura de tales obligaciones de futuro.</w:t>
      </w:r>
    </w:p>
    <w:p>
      <w:pPr>
        <w:spacing w:after="0" w:line="240" w:lineRule="auto"/>
        <w:jc w:val="both"/>
        <w:rPr>
          <w:sz w:val="19"/>
        </w:rPr>
        <w:sectPr>
          <w:pgSz w:w="11900" w:h="16840"/>
          <w:pgMar w:header="739" w:footer="767" w:top="1600" w:bottom="960" w:left="1580" w:right="660"/>
        </w:sectPr>
      </w:pPr>
    </w:p>
    <w:p>
      <w:pPr>
        <w:pStyle w:val="BodyText"/>
        <w:spacing w:before="11"/>
        <w:rPr>
          <w:sz w:val="17"/>
        </w:rPr>
      </w:pPr>
    </w:p>
    <w:p>
      <w:pPr>
        <w:pStyle w:val="ListParagraph"/>
        <w:numPr>
          <w:ilvl w:val="0"/>
          <w:numId w:val="6"/>
        </w:numPr>
        <w:tabs>
          <w:tab w:pos="300" w:val="left" w:leader="none"/>
        </w:tabs>
        <w:spacing w:line="240" w:lineRule="auto" w:before="62" w:after="0"/>
        <w:ind w:left="121" w:right="1030" w:firstLine="0"/>
        <w:jc w:val="both"/>
        <w:rPr>
          <w:sz w:val="19"/>
        </w:rPr>
      </w:pPr>
      <w:r>
        <w:rPr>
          <w:sz w:val="19"/>
        </w:rPr>
        <w:t>El Presidente de la Fundación considera que el valor contable de los activos no supera el valor recuperable de los mismos, por lo que no se han registrado pérdidas por</w:t>
      </w:r>
      <w:r>
        <w:rPr>
          <w:spacing w:val="-10"/>
          <w:sz w:val="19"/>
        </w:rPr>
        <w:t> </w:t>
      </w:r>
      <w:r>
        <w:rPr>
          <w:sz w:val="19"/>
        </w:rPr>
        <w:t>deterioros.</w:t>
      </w:r>
    </w:p>
    <w:p>
      <w:pPr>
        <w:pStyle w:val="BodyText"/>
      </w:pPr>
    </w:p>
    <w:p>
      <w:pPr>
        <w:pStyle w:val="ListParagraph"/>
        <w:numPr>
          <w:ilvl w:val="0"/>
          <w:numId w:val="6"/>
        </w:numPr>
        <w:tabs>
          <w:tab w:pos="340" w:val="left" w:leader="none"/>
        </w:tabs>
        <w:spacing w:line="240" w:lineRule="auto" w:before="0" w:after="0"/>
        <w:ind w:left="121" w:right="1030" w:firstLine="0"/>
        <w:jc w:val="both"/>
        <w:rPr>
          <w:sz w:val="19"/>
        </w:rPr>
      </w:pPr>
      <w:r>
        <w:rPr>
          <w:sz w:val="19"/>
        </w:rPr>
        <w:t>Las dotaciones anuales a la amortización se aplican de manera sistemática y se calculan por el método lineal en función de la vida útil estimada de los diferentes inmovilizados, considerando un valor residual nulo. Los coeficientes aplicados son los</w:t>
      </w:r>
      <w:r>
        <w:rPr>
          <w:spacing w:val="-3"/>
          <w:sz w:val="19"/>
        </w:rPr>
        <w:t> </w:t>
      </w:r>
      <w:r>
        <w:rPr>
          <w:sz w:val="19"/>
        </w:rPr>
        <w:t>siguientes:</w:t>
      </w:r>
    </w:p>
    <w:p>
      <w:pPr>
        <w:pStyle w:val="BodyText"/>
        <w:rPr>
          <w:sz w:val="20"/>
        </w:rPr>
      </w:pPr>
    </w:p>
    <w:p>
      <w:pPr>
        <w:pStyle w:val="BodyText"/>
        <w:rPr>
          <w:sz w:val="18"/>
        </w:rPr>
      </w:pPr>
    </w:p>
    <w:tbl>
      <w:tblPr>
        <w:tblW w:w="0" w:type="auto"/>
        <w:jc w:val="left"/>
        <w:tblInd w:w="1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39"/>
        <w:gridCol w:w="1200"/>
      </w:tblGrid>
      <w:tr>
        <w:trPr>
          <w:trHeight w:val="254" w:hRule="atLeast"/>
        </w:trPr>
        <w:tc>
          <w:tcPr>
            <w:tcW w:w="3439" w:type="dxa"/>
          </w:tcPr>
          <w:p>
            <w:pPr>
              <w:pStyle w:val="TableParagraph"/>
              <w:spacing w:line="223" w:lineRule="exact" w:before="11"/>
              <w:ind w:left="69"/>
              <w:rPr>
                <w:sz w:val="20"/>
              </w:rPr>
            </w:pPr>
            <w:r>
              <w:rPr>
                <w:sz w:val="20"/>
              </w:rPr>
              <w:t>Mobiliario</w:t>
            </w:r>
          </w:p>
        </w:tc>
        <w:tc>
          <w:tcPr>
            <w:tcW w:w="1200" w:type="dxa"/>
          </w:tcPr>
          <w:p>
            <w:pPr>
              <w:pStyle w:val="TableParagraph"/>
              <w:spacing w:line="223" w:lineRule="exact" w:before="11"/>
              <w:ind w:right="59"/>
              <w:jc w:val="right"/>
              <w:rPr>
                <w:sz w:val="20"/>
              </w:rPr>
            </w:pPr>
            <w:r>
              <w:rPr>
                <w:w w:val="95"/>
                <w:sz w:val="20"/>
              </w:rPr>
              <w:t>10%</w:t>
            </w:r>
          </w:p>
        </w:tc>
      </w:tr>
      <w:tr>
        <w:trPr>
          <w:trHeight w:val="256" w:hRule="atLeast"/>
        </w:trPr>
        <w:tc>
          <w:tcPr>
            <w:tcW w:w="3439" w:type="dxa"/>
          </w:tcPr>
          <w:p>
            <w:pPr>
              <w:pStyle w:val="TableParagraph"/>
              <w:spacing w:line="223" w:lineRule="exact" w:before="13"/>
              <w:ind w:left="69"/>
              <w:rPr>
                <w:sz w:val="20"/>
              </w:rPr>
            </w:pPr>
            <w:r>
              <w:rPr>
                <w:sz w:val="20"/>
              </w:rPr>
              <w:t>Otras instalaciones</w:t>
            </w:r>
          </w:p>
        </w:tc>
        <w:tc>
          <w:tcPr>
            <w:tcW w:w="1200" w:type="dxa"/>
          </w:tcPr>
          <w:p>
            <w:pPr>
              <w:pStyle w:val="TableParagraph"/>
              <w:spacing w:line="223" w:lineRule="exact" w:before="13"/>
              <w:ind w:right="59"/>
              <w:jc w:val="right"/>
              <w:rPr>
                <w:sz w:val="20"/>
              </w:rPr>
            </w:pPr>
            <w:r>
              <w:rPr>
                <w:w w:val="95"/>
                <w:sz w:val="20"/>
              </w:rPr>
              <w:t>10%</w:t>
            </w:r>
          </w:p>
        </w:tc>
      </w:tr>
      <w:tr>
        <w:trPr>
          <w:trHeight w:val="254" w:hRule="atLeast"/>
        </w:trPr>
        <w:tc>
          <w:tcPr>
            <w:tcW w:w="3439" w:type="dxa"/>
          </w:tcPr>
          <w:p>
            <w:pPr>
              <w:pStyle w:val="TableParagraph"/>
              <w:spacing w:line="223" w:lineRule="exact" w:before="11"/>
              <w:ind w:left="69"/>
              <w:rPr>
                <w:sz w:val="20"/>
              </w:rPr>
            </w:pPr>
            <w:r>
              <w:rPr>
                <w:sz w:val="20"/>
              </w:rPr>
              <w:t>Equipos para procesos de información</w:t>
            </w:r>
          </w:p>
        </w:tc>
        <w:tc>
          <w:tcPr>
            <w:tcW w:w="1200" w:type="dxa"/>
          </w:tcPr>
          <w:p>
            <w:pPr>
              <w:pStyle w:val="TableParagraph"/>
              <w:spacing w:line="223" w:lineRule="exact" w:before="11"/>
              <w:ind w:right="59"/>
              <w:jc w:val="right"/>
              <w:rPr>
                <w:sz w:val="20"/>
              </w:rPr>
            </w:pPr>
            <w:r>
              <w:rPr>
                <w:w w:val="95"/>
                <w:sz w:val="20"/>
              </w:rPr>
              <w:t>25%</w:t>
            </w:r>
          </w:p>
        </w:tc>
      </w:tr>
      <w:tr>
        <w:trPr>
          <w:trHeight w:val="256" w:hRule="atLeast"/>
        </w:trPr>
        <w:tc>
          <w:tcPr>
            <w:tcW w:w="3439" w:type="dxa"/>
          </w:tcPr>
          <w:p>
            <w:pPr>
              <w:pStyle w:val="TableParagraph"/>
              <w:spacing w:line="225" w:lineRule="exact" w:before="11"/>
              <w:ind w:left="69"/>
              <w:rPr>
                <w:sz w:val="20"/>
              </w:rPr>
            </w:pPr>
            <w:r>
              <w:rPr>
                <w:sz w:val="20"/>
              </w:rPr>
              <w:t>Otro inmovilizado material</w:t>
            </w:r>
          </w:p>
        </w:tc>
        <w:tc>
          <w:tcPr>
            <w:tcW w:w="1200" w:type="dxa"/>
          </w:tcPr>
          <w:p>
            <w:pPr>
              <w:pStyle w:val="TableParagraph"/>
              <w:spacing w:line="225" w:lineRule="exact" w:before="11"/>
              <w:ind w:right="59"/>
              <w:jc w:val="right"/>
              <w:rPr>
                <w:sz w:val="20"/>
              </w:rPr>
            </w:pPr>
            <w:r>
              <w:rPr>
                <w:w w:val="95"/>
                <w:sz w:val="20"/>
              </w:rPr>
              <w:t>10%</w:t>
            </w:r>
          </w:p>
        </w:tc>
      </w:tr>
    </w:tbl>
    <w:p>
      <w:pPr>
        <w:pStyle w:val="BodyText"/>
        <w:rPr>
          <w:sz w:val="20"/>
        </w:rPr>
      </w:pPr>
    </w:p>
    <w:p>
      <w:pPr>
        <w:pStyle w:val="BodyText"/>
        <w:spacing w:before="3"/>
        <w:rPr>
          <w:sz w:val="18"/>
        </w:rPr>
      </w:pPr>
    </w:p>
    <w:p>
      <w:pPr>
        <w:pStyle w:val="ListParagraph"/>
        <w:numPr>
          <w:ilvl w:val="0"/>
          <w:numId w:val="6"/>
        </w:numPr>
        <w:tabs>
          <w:tab w:pos="427" w:val="left" w:leader="none"/>
        </w:tabs>
        <w:spacing w:line="273" w:lineRule="auto" w:before="0" w:after="0"/>
        <w:ind w:left="121" w:right="1032" w:firstLine="0"/>
        <w:jc w:val="both"/>
        <w:rPr>
          <w:sz w:val="19"/>
        </w:rPr>
      </w:pPr>
      <w:r>
        <w:rPr>
          <w:sz w:val="19"/>
        </w:rPr>
        <w:t>Los costes de ampliación o mejora que dan lugar a un aumento de la capacidad productiva o a un alargamiento de la vida útil de los bienes, son incorporados al activo como mayor valor del</w:t>
      </w:r>
      <w:r>
        <w:rPr>
          <w:spacing w:val="-20"/>
          <w:sz w:val="19"/>
        </w:rPr>
        <w:t> </w:t>
      </w:r>
      <w:r>
        <w:rPr>
          <w:sz w:val="19"/>
        </w:rPr>
        <w:t>mismo.</w:t>
      </w:r>
    </w:p>
    <w:p>
      <w:pPr>
        <w:pStyle w:val="BodyText"/>
        <w:spacing w:before="10"/>
        <w:rPr>
          <w:sz w:val="16"/>
        </w:rPr>
      </w:pPr>
    </w:p>
    <w:p>
      <w:pPr>
        <w:pStyle w:val="ListParagraph"/>
        <w:numPr>
          <w:ilvl w:val="0"/>
          <w:numId w:val="6"/>
        </w:numPr>
        <w:tabs>
          <w:tab w:pos="319" w:val="left" w:leader="none"/>
        </w:tabs>
        <w:spacing w:line="276" w:lineRule="auto" w:before="0" w:after="0"/>
        <w:ind w:left="121" w:right="1030" w:firstLine="0"/>
        <w:jc w:val="both"/>
        <w:rPr>
          <w:sz w:val="19"/>
        </w:rPr>
      </w:pPr>
      <w:r>
        <w:rPr>
          <w:sz w:val="19"/>
        </w:rPr>
        <w:t>Para la contabilización de contratos de arrendamiento financiero y otras operaciones de naturaleza similar, en el momento inicial, se registra el activo de acuerdo con su naturaleza y un pasivo financiero por el mismo importe, que será el valor razonable del activo arrendado calculado al inicio del mismo, sin incluir los impuestos repercutibles por el arrendador. Adicionalmente, los gastos directos iniciales inherentes a la operación en los que incurra el arrendatario se consideran como mayor valor del activo. La carga financiera total se distribuye a lo largo del plazo del arrendamiento y se imputa a la cuenta de pérdidas y ganancias del ejercicio en que se devengue, aplicando el método del tipo de interés efectivo. No se contemplan cuotas de carácter contingente.</w:t>
      </w:r>
    </w:p>
    <w:p>
      <w:pPr>
        <w:pStyle w:val="BodyText"/>
        <w:spacing w:before="4"/>
        <w:rPr>
          <w:sz w:val="16"/>
        </w:rPr>
      </w:pPr>
    </w:p>
    <w:p>
      <w:pPr>
        <w:pStyle w:val="ListParagraph"/>
        <w:numPr>
          <w:ilvl w:val="0"/>
          <w:numId w:val="6"/>
        </w:numPr>
        <w:tabs>
          <w:tab w:pos="436" w:val="left" w:leader="none"/>
        </w:tabs>
        <w:spacing w:line="273" w:lineRule="auto" w:before="0" w:after="0"/>
        <w:ind w:left="121" w:right="1030" w:firstLine="0"/>
        <w:jc w:val="both"/>
        <w:rPr>
          <w:sz w:val="19"/>
        </w:rPr>
      </w:pPr>
      <w:r>
        <w:rPr>
          <w:sz w:val="19"/>
        </w:rPr>
        <w:t>Los cambios que, en su caso, pudieran originarse en el valor residual, la vida útil y el método de amortización de algún inmovilizado, se contabilizan como cambios en las estimaciones contables, salvo que se trate de un</w:t>
      </w:r>
      <w:r>
        <w:rPr>
          <w:spacing w:val="-4"/>
          <w:sz w:val="19"/>
        </w:rPr>
        <w:t> </w:t>
      </w:r>
      <w:r>
        <w:rPr>
          <w:sz w:val="19"/>
        </w:rPr>
        <w:t>error.</w:t>
      </w:r>
    </w:p>
    <w:p>
      <w:pPr>
        <w:pStyle w:val="BodyText"/>
        <w:spacing w:before="10"/>
        <w:rPr>
          <w:sz w:val="16"/>
        </w:rPr>
      </w:pPr>
    </w:p>
    <w:p>
      <w:pPr>
        <w:pStyle w:val="Heading3"/>
        <w:numPr>
          <w:ilvl w:val="0"/>
          <w:numId w:val="4"/>
        </w:numPr>
        <w:tabs>
          <w:tab w:pos="352" w:val="left" w:leader="none"/>
        </w:tabs>
        <w:spacing w:line="240" w:lineRule="auto" w:before="0" w:after="0"/>
        <w:ind w:left="352" w:right="0" w:hanging="231"/>
        <w:jc w:val="left"/>
      </w:pPr>
      <w:r>
        <w:rPr/>
        <w:t>Inversiones</w:t>
      </w:r>
      <w:r>
        <w:rPr>
          <w:spacing w:val="-1"/>
        </w:rPr>
        <w:t> </w:t>
      </w:r>
      <w:r>
        <w:rPr/>
        <w:t>inmobiliarias.</w:t>
      </w:r>
    </w:p>
    <w:p>
      <w:pPr>
        <w:pStyle w:val="BodyText"/>
        <w:spacing w:before="10"/>
        <w:rPr>
          <w:b/>
        </w:rPr>
      </w:pPr>
    </w:p>
    <w:p>
      <w:pPr>
        <w:pStyle w:val="BodyText"/>
        <w:ind w:left="121"/>
      </w:pPr>
      <w:r>
        <w:rPr/>
        <w:t>La Fundación no posee inversiones inmobiliarias.</w:t>
      </w:r>
    </w:p>
    <w:p>
      <w:pPr>
        <w:pStyle w:val="BodyText"/>
        <w:spacing w:before="2"/>
      </w:pPr>
    </w:p>
    <w:p>
      <w:pPr>
        <w:pStyle w:val="Heading3"/>
        <w:numPr>
          <w:ilvl w:val="0"/>
          <w:numId w:val="4"/>
        </w:numPr>
        <w:tabs>
          <w:tab w:pos="355" w:val="left" w:leader="none"/>
        </w:tabs>
        <w:spacing w:line="240" w:lineRule="auto" w:before="0" w:after="0"/>
        <w:ind w:left="354" w:right="0" w:hanging="234"/>
        <w:jc w:val="left"/>
      </w:pPr>
      <w:r>
        <w:rPr/>
        <w:t>Bienes integrantes del Patrimonio</w:t>
      </w:r>
      <w:r>
        <w:rPr>
          <w:spacing w:val="-9"/>
        </w:rPr>
        <w:t> </w:t>
      </w:r>
      <w:r>
        <w:rPr/>
        <w:t>Histórico.</w:t>
      </w:r>
    </w:p>
    <w:p>
      <w:pPr>
        <w:pStyle w:val="BodyText"/>
        <w:spacing w:before="10"/>
        <w:rPr>
          <w:b/>
        </w:rPr>
      </w:pPr>
    </w:p>
    <w:p>
      <w:pPr>
        <w:pStyle w:val="BodyText"/>
        <w:spacing w:before="1"/>
        <w:ind w:left="121"/>
      </w:pPr>
      <w:r>
        <w:rPr/>
        <w:t>La Fundación no posee bienes integrantes del Patrimonio Histórico.</w:t>
      </w:r>
    </w:p>
    <w:p>
      <w:pPr>
        <w:pStyle w:val="BodyText"/>
        <w:spacing w:before="4"/>
      </w:pPr>
    </w:p>
    <w:p>
      <w:pPr>
        <w:pStyle w:val="Heading3"/>
        <w:numPr>
          <w:ilvl w:val="0"/>
          <w:numId w:val="4"/>
        </w:numPr>
        <w:tabs>
          <w:tab w:pos="355" w:val="left" w:leader="none"/>
        </w:tabs>
        <w:spacing w:line="240" w:lineRule="auto" w:before="0" w:after="0"/>
        <w:ind w:left="354" w:right="0" w:hanging="234"/>
        <w:jc w:val="left"/>
      </w:pPr>
      <w:r>
        <w:rPr/>
        <w:t>Arrendamientos.</w:t>
      </w:r>
    </w:p>
    <w:p>
      <w:pPr>
        <w:pStyle w:val="BodyText"/>
        <w:spacing w:before="10"/>
        <w:rPr>
          <w:b/>
        </w:rPr>
      </w:pPr>
    </w:p>
    <w:p>
      <w:pPr>
        <w:pStyle w:val="BodyText"/>
        <w:spacing w:line="276" w:lineRule="auto"/>
        <w:ind w:left="121" w:right="1030"/>
        <w:jc w:val="both"/>
      </w:pPr>
      <w:r>
        <w:rPr/>
        <w:t>La Fundación no ha registrado durante el ejercicio operaciones de arrendamiento financiero. Los pagos por arrendamientos operativos realizados en el ejercicio se registran como gastos en la cuenta de resultados en el momento de su devengo.</w:t>
      </w:r>
    </w:p>
    <w:p>
      <w:pPr>
        <w:pStyle w:val="BodyText"/>
        <w:spacing w:before="3"/>
        <w:rPr>
          <w:sz w:val="16"/>
        </w:rPr>
      </w:pPr>
    </w:p>
    <w:p>
      <w:pPr>
        <w:pStyle w:val="Heading3"/>
        <w:numPr>
          <w:ilvl w:val="0"/>
          <w:numId w:val="4"/>
        </w:numPr>
        <w:tabs>
          <w:tab w:pos="355" w:val="left" w:leader="none"/>
        </w:tabs>
        <w:spacing w:line="240" w:lineRule="auto" w:before="0" w:after="0"/>
        <w:ind w:left="354" w:right="0" w:hanging="234"/>
        <w:jc w:val="left"/>
      </w:pPr>
      <w:r>
        <w:rPr/>
        <w:t>Permutas.</w:t>
      </w:r>
    </w:p>
    <w:p>
      <w:pPr>
        <w:pStyle w:val="BodyText"/>
        <w:spacing w:before="1"/>
        <w:rPr>
          <w:b/>
          <w:sz w:val="20"/>
        </w:rPr>
      </w:pPr>
    </w:p>
    <w:p>
      <w:pPr>
        <w:pStyle w:val="BodyText"/>
        <w:spacing w:line="273" w:lineRule="auto"/>
        <w:ind w:left="121" w:right="1032"/>
        <w:jc w:val="both"/>
      </w:pPr>
      <w:r>
        <w:rPr/>
        <w:t>La Fundación no ha registrado durante el ejercicio ni presenta bienes en balance derivados de operaciones de permuta.</w:t>
      </w:r>
    </w:p>
    <w:p>
      <w:pPr>
        <w:pStyle w:val="BodyText"/>
        <w:spacing w:before="8"/>
        <w:rPr>
          <w:sz w:val="16"/>
        </w:rPr>
      </w:pPr>
    </w:p>
    <w:p>
      <w:pPr>
        <w:pStyle w:val="Heading4"/>
        <w:numPr>
          <w:ilvl w:val="0"/>
          <w:numId w:val="4"/>
        </w:numPr>
        <w:tabs>
          <w:tab w:pos="393" w:val="left" w:leader="none"/>
        </w:tabs>
        <w:spacing w:line="240" w:lineRule="auto" w:before="0" w:after="0"/>
        <w:ind w:left="392" w:right="0" w:hanging="272"/>
        <w:jc w:val="left"/>
      </w:pPr>
      <w:r>
        <w:rPr/>
        <w:t>Activos financieros y pasivos</w:t>
      </w:r>
      <w:r>
        <w:rPr>
          <w:spacing w:val="1"/>
        </w:rPr>
        <w:t> </w:t>
      </w:r>
      <w:r>
        <w:rPr/>
        <w:t>financieros.</w:t>
      </w:r>
    </w:p>
    <w:p>
      <w:pPr>
        <w:pStyle w:val="BodyText"/>
        <w:spacing w:before="10"/>
        <w:rPr>
          <w:b/>
        </w:rPr>
      </w:pPr>
    </w:p>
    <w:p>
      <w:pPr>
        <w:pStyle w:val="BodyText"/>
        <w:spacing w:line="276" w:lineRule="auto"/>
        <w:ind w:left="121" w:right="1030" w:hanging="1"/>
        <w:jc w:val="both"/>
      </w:pPr>
      <w:r>
        <w:rPr/>
        <w:t>La Fundación tiene registrados en el capítulo de instrumentos financieros, aquellos contratos que dan lugar a un activo financiero en una Fundación y, simultáneamente, a un pasivo financiero o a un instrumento de</w:t>
      </w:r>
    </w:p>
    <w:p>
      <w:pPr>
        <w:spacing w:after="0" w:line="276" w:lineRule="auto"/>
        <w:jc w:val="both"/>
        <w:sectPr>
          <w:pgSz w:w="11900" w:h="16840"/>
          <w:pgMar w:header="739" w:footer="767" w:top="1600" w:bottom="960" w:left="1580" w:right="660"/>
        </w:sectPr>
      </w:pPr>
    </w:p>
    <w:p>
      <w:pPr>
        <w:pStyle w:val="BodyText"/>
        <w:spacing w:before="2"/>
        <w:rPr>
          <w:sz w:val="18"/>
        </w:rPr>
      </w:pPr>
    </w:p>
    <w:p>
      <w:pPr>
        <w:pStyle w:val="BodyText"/>
        <w:spacing w:line="273" w:lineRule="auto" w:before="61"/>
        <w:ind w:left="121" w:right="1031"/>
        <w:jc w:val="both"/>
      </w:pPr>
      <w:r>
        <w:rPr/>
        <w:t>patrimonio en otra Fundación. Por tanto, la presente norma resulta de aplicación a los siguientes instrumentos</w:t>
      </w:r>
      <w:r>
        <w:rPr>
          <w:spacing w:val="-1"/>
        </w:rPr>
        <w:t> </w:t>
      </w:r>
      <w:r>
        <w:rPr/>
        <w:t>financieros:</w:t>
      </w:r>
    </w:p>
    <w:p>
      <w:pPr>
        <w:pStyle w:val="BodyText"/>
        <w:spacing w:before="5"/>
        <w:rPr>
          <w:sz w:val="16"/>
        </w:rPr>
      </w:pPr>
    </w:p>
    <w:p>
      <w:pPr>
        <w:pStyle w:val="ListParagraph"/>
        <w:numPr>
          <w:ilvl w:val="0"/>
          <w:numId w:val="7"/>
        </w:numPr>
        <w:tabs>
          <w:tab w:pos="314" w:val="left" w:leader="none"/>
        </w:tabs>
        <w:spacing w:line="240" w:lineRule="auto" w:before="1" w:after="0"/>
        <w:ind w:left="313" w:right="0" w:hanging="193"/>
        <w:jc w:val="left"/>
        <w:rPr>
          <w:sz w:val="19"/>
        </w:rPr>
      </w:pPr>
      <w:r>
        <w:rPr>
          <w:sz w:val="19"/>
        </w:rPr>
        <w:t>Activos</w:t>
      </w:r>
      <w:r>
        <w:rPr>
          <w:spacing w:val="-8"/>
          <w:sz w:val="19"/>
        </w:rPr>
        <w:t> </w:t>
      </w:r>
      <w:r>
        <w:rPr>
          <w:sz w:val="19"/>
        </w:rPr>
        <w:t>financieros:</w:t>
      </w:r>
    </w:p>
    <w:p>
      <w:pPr>
        <w:pStyle w:val="BodyText"/>
        <w:spacing w:before="3"/>
      </w:pPr>
    </w:p>
    <w:p>
      <w:pPr>
        <w:pStyle w:val="BodyText"/>
        <w:spacing w:before="1"/>
        <w:ind w:left="121"/>
      </w:pPr>
      <w:r>
        <w:rPr/>
        <w:t>Efectivo y otros activos líquidos equivalentes.</w:t>
      </w:r>
    </w:p>
    <w:p>
      <w:pPr>
        <w:pStyle w:val="BodyText"/>
        <w:spacing w:before="1"/>
      </w:pPr>
    </w:p>
    <w:p>
      <w:pPr>
        <w:pStyle w:val="BodyText"/>
        <w:ind w:left="121"/>
      </w:pPr>
      <w:r>
        <w:rPr/>
        <w:t>Créditos por operaciones comerciales: clientes y deudores varios;</w:t>
      </w:r>
    </w:p>
    <w:p>
      <w:pPr>
        <w:pStyle w:val="BodyText"/>
        <w:spacing w:before="7"/>
      </w:pPr>
    </w:p>
    <w:p>
      <w:pPr>
        <w:pStyle w:val="BodyText"/>
        <w:spacing w:line="273" w:lineRule="auto"/>
        <w:ind w:left="121" w:right="1031"/>
        <w:jc w:val="both"/>
      </w:pPr>
      <w:r>
        <w:rPr/>
        <w:t>Créditos a terceros: tales como los préstamos y créditos financieros concedidos, incluidos los surgidos de la venta de activos no corrientes;</w:t>
      </w:r>
    </w:p>
    <w:p>
      <w:pPr>
        <w:pStyle w:val="BodyText"/>
        <w:spacing w:before="8"/>
        <w:rPr>
          <w:sz w:val="16"/>
        </w:rPr>
      </w:pPr>
    </w:p>
    <w:p>
      <w:pPr>
        <w:pStyle w:val="BodyText"/>
        <w:spacing w:line="273" w:lineRule="auto"/>
        <w:ind w:left="121" w:right="1031"/>
        <w:jc w:val="both"/>
      </w:pPr>
      <w:r>
        <w:rPr/>
        <w:t>Valores representativos de deuda de otras empresas adquiridos: tales como las obligaciones, bonos y pagarés;</w:t>
      </w:r>
    </w:p>
    <w:p>
      <w:pPr>
        <w:pStyle w:val="BodyText"/>
        <w:spacing w:before="10"/>
        <w:rPr>
          <w:sz w:val="16"/>
        </w:rPr>
      </w:pPr>
    </w:p>
    <w:p>
      <w:pPr>
        <w:pStyle w:val="BodyText"/>
        <w:spacing w:line="273" w:lineRule="auto"/>
        <w:ind w:left="121" w:right="1030"/>
        <w:jc w:val="both"/>
      </w:pPr>
      <w:r>
        <w:rPr/>
        <w:t>Instrumentos de patrimonio de otras empresas adquiridos: acciones, participaciones en instituciones de inversión colectiva y otros instrumentos de patrimonio;</w:t>
      </w:r>
    </w:p>
    <w:p>
      <w:pPr>
        <w:pStyle w:val="BodyText"/>
        <w:spacing w:before="10"/>
        <w:rPr>
          <w:sz w:val="16"/>
        </w:rPr>
      </w:pPr>
    </w:p>
    <w:p>
      <w:pPr>
        <w:pStyle w:val="BodyText"/>
        <w:spacing w:line="273" w:lineRule="auto"/>
        <w:ind w:left="121" w:right="1031"/>
        <w:jc w:val="both"/>
      </w:pPr>
      <w:r>
        <w:rPr/>
        <w:t>Derivados con valoración favorable para la Fundación: entre ellos, futuros, opciones, permutas financieras y compraventa de moneda extranjera a plazo, y</w:t>
      </w:r>
    </w:p>
    <w:p>
      <w:pPr>
        <w:pStyle w:val="BodyText"/>
        <w:spacing w:before="8"/>
        <w:rPr>
          <w:sz w:val="16"/>
        </w:rPr>
      </w:pPr>
    </w:p>
    <w:p>
      <w:pPr>
        <w:pStyle w:val="BodyText"/>
        <w:spacing w:line="273" w:lineRule="auto"/>
        <w:ind w:left="121" w:right="1031"/>
        <w:jc w:val="both"/>
      </w:pPr>
      <w:r>
        <w:rPr/>
        <w:t>Otros activos financieros: tales como depósitos en Fundaciones de crédito, anticipos y créditos al personal, fianzas y depósitos constituidos, dividendos a cobrar y desembolsos exigidos sobre instrumentos de patrimonio propio.</w:t>
      </w:r>
    </w:p>
    <w:p>
      <w:pPr>
        <w:pStyle w:val="BodyText"/>
        <w:spacing w:before="10"/>
        <w:rPr>
          <w:sz w:val="16"/>
        </w:rPr>
      </w:pPr>
    </w:p>
    <w:p>
      <w:pPr>
        <w:pStyle w:val="ListParagraph"/>
        <w:numPr>
          <w:ilvl w:val="0"/>
          <w:numId w:val="7"/>
        </w:numPr>
        <w:tabs>
          <w:tab w:pos="324" w:val="left" w:leader="none"/>
        </w:tabs>
        <w:spacing w:line="240" w:lineRule="auto" w:before="0" w:after="0"/>
        <w:ind w:left="323" w:right="0" w:hanging="203"/>
        <w:jc w:val="left"/>
        <w:rPr>
          <w:sz w:val="19"/>
        </w:rPr>
      </w:pPr>
      <w:r>
        <w:rPr>
          <w:sz w:val="19"/>
        </w:rPr>
        <w:t>Pasivos</w:t>
      </w:r>
      <w:r>
        <w:rPr>
          <w:spacing w:val="-1"/>
          <w:sz w:val="19"/>
        </w:rPr>
        <w:t> </w:t>
      </w:r>
      <w:r>
        <w:rPr>
          <w:sz w:val="19"/>
        </w:rPr>
        <w:t>financieros:</w:t>
      </w:r>
    </w:p>
    <w:p>
      <w:pPr>
        <w:pStyle w:val="BodyText"/>
        <w:spacing w:before="2"/>
      </w:pPr>
    </w:p>
    <w:p>
      <w:pPr>
        <w:pStyle w:val="BodyText"/>
        <w:spacing w:line="484" w:lineRule="auto"/>
        <w:ind w:left="121" w:right="4007"/>
      </w:pPr>
      <w:r>
        <w:rPr/>
        <w:t>Débitos por operaciones comerciales: proveedores y acreedores varios; Deudas con Fundaciones de crédito;</w:t>
      </w:r>
    </w:p>
    <w:p>
      <w:pPr>
        <w:pStyle w:val="BodyText"/>
        <w:spacing w:line="229" w:lineRule="exact"/>
        <w:ind w:left="121"/>
      </w:pPr>
      <w:r>
        <w:rPr/>
        <w:t>Obligaciones y otros valores negociables emitidos: tales como bonos y pagarés;</w:t>
      </w:r>
    </w:p>
    <w:p>
      <w:pPr>
        <w:pStyle w:val="BodyText"/>
        <w:spacing w:before="6"/>
      </w:pPr>
    </w:p>
    <w:p>
      <w:pPr>
        <w:pStyle w:val="BodyText"/>
        <w:spacing w:line="273" w:lineRule="auto"/>
        <w:ind w:left="121" w:right="1031"/>
        <w:jc w:val="both"/>
      </w:pPr>
      <w:r>
        <w:rPr/>
        <w:t>Derivados con valoración desfavorable para la Fundación: entre ellos, futuros, opciones, permutas financieras y compraventa de moneda extranjera a plazo;</w:t>
      </w:r>
    </w:p>
    <w:p>
      <w:pPr>
        <w:pStyle w:val="BodyText"/>
        <w:spacing w:before="6"/>
        <w:rPr>
          <w:sz w:val="16"/>
        </w:rPr>
      </w:pPr>
    </w:p>
    <w:p>
      <w:pPr>
        <w:pStyle w:val="BodyText"/>
        <w:ind w:left="121"/>
      </w:pPr>
      <w:r>
        <w:rPr/>
        <w:t>Deudas con características especiales, y</w:t>
      </w:r>
    </w:p>
    <w:p>
      <w:pPr>
        <w:pStyle w:val="BodyText"/>
        <w:spacing w:before="6"/>
      </w:pPr>
    </w:p>
    <w:p>
      <w:pPr>
        <w:pStyle w:val="BodyText"/>
        <w:spacing w:line="273" w:lineRule="auto"/>
        <w:ind w:left="121" w:right="1030"/>
        <w:jc w:val="both"/>
      </w:pPr>
      <w:r>
        <w:rPr/>
        <w:t>Otros pasivos financieros: deudas con terceros, tales como los préstamos y créditos financieros recibidos de personas o empresas que no sean Fundaciones de crédito incluidos los surgidos en la compra de activos no corrientes, fianzas y depósitos recibidos y desembolsos exigidos por terceros sobre participaciones.</w:t>
      </w:r>
    </w:p>
    <w:p>
      <w:pPr>
        <w:pStyle w:val="BodyText"/>
        <w:rPr>
          <w:sz w:val="17"/>
        </w:rPr>
      </w:pPr>
    </w:p>
    <w:p>
      <w:pPr>
        <w:pStyle w:val="ListParagraph"/>
        <w:numPr>
          <w:ilvl w:val="0"/>
          <w:numId w:val="7"/>
        </w:numPr>
        <w:tabs>
          <w:tab w:pos="340" w:val="left" w:leader="none"/>
        </w:tabs>
        <w:spacing w:line="273" w:lineRule="auto" w:before="0" w:after="0"/>
        <w:ind w:left="121" w:right="1031" w:firstLine="0"/>
        <w:jc w:val="left"/>
        <w:rPr>
          <w:sz w:val="19"/>
        </w:rPr>
      </w:pPr>
      <w:r>
        <w:rPr>
          <w:sz w:val="19"/>
        </w:rPr>
        <w:t>Instrumentos de patrimonio propio: todos los instrumentos financieros que se incluyen dentro de los fondos propios, tal como las acciones ordinarias</w:t>
      </w:r>
      <w:r>
        <w:rPr>
          <w:spacing w:val="-7"/>
          <w:sz w:val="19"/>
        </w:rPr>
        <w:t> </w:t>
      </w:r>
      <w:r>
        <w:rPr>
          <w:sz w:val="19"/>
        </w:rPr>
        <w:t>emitidas.</w:t>
      </w:r>
    </w:p>
    <w:p>
      <w:pPr>
        <w:pStyle w:val="BodyText"/>
        <w:spacing w:before="6"/>
        <w:rPr>
          <w:sz w:val="16"/>
        </w:rPr>
      </w:pPr>
    </w:p>
    <w:p>
      <w:pPr>
        <w:pStyle w:val="ListParagraph"/>
        <w:numPr>
          <w:ilvl w:val="2"/>
          <w:numId w:val="8"/>
        </w:numPr>
        <w:tabs>
          <w:tab w:pos="597" w:val="left" w:leader="none"/>
        </w:tabs>
        <w:spacing w:line="240" w:lineRule="auto" w:before="0" w:after="0"/>
        <w:ind w:left="596" w:right="0" w:hanging="476"/>
        <w:jc w:val="left"/>
        <w:rPr>
          <w:sz w:val="19"/>
        </w:rPr>
      </w:pPr>
      <w:r>
        <w:rPr>
          <w:sz w:val="19"/>
        </w:rPr>
        <w:t>Inversiones financieras a largo y corto</w:t>
      </w:r>
      <w:r>
        <w:rPr>
          <w:spacing w:val="-17"/>
          <w:sz w:val="19"/>
        </w:rPr>
        <w:t> </w:t>
      </w:r>
      <w:r>
        <w:rPr>
          <w:sz w:val="19"/>
        </w:rPr>
        <w:t>plazo</w:t>
      </w:r>
    </w:p>
    <w:p>
      <w:pPr>
        <w:pStyle w:val="BodyText"/>
        <w:spacing w:before="6"/>
      </w:pPr>
    </w:p>
    <w:p>
      <w:pPr>
        <w:pStyle w:val="BodyText"/>
        <w:spacing w:line="276" w:lineRule="auto"/>
        <w:ind w:left="121" w:right="1030"/>
        <w:jc w:val="both"/>
      </w:pPr>
      <w:r>
        <w:rPr>
          <w:b/>
        </w:rPr>
        <w:t>Activos Financieros a coste Amortizado. </w:t>
      </w:r>
      <w:r>
        <w:rPr/>
        <w:t>Un activo financiero se incluye en esta categoría, incluso cuando esté admitido a negociación en un mercado organizado, si la empresa mantiene la inversión con el objetivo de percibir los flujos de efectivo derivados de la ejecución del contrato, y las condiciones contractuales del activo financiero dan lugar, en fechas especificadas, a flujos de efectivo que son únicamente cobros de principal e intereses sobre el importe del principal pendiente. Los flujos de efectivo contractuales que son únicamente cobros de principal e interés sobre el importe del principal pendiente son inherentes a un acuerdo que tiene la naturaleza de préstamo ordinario o común, sin perjuicio de que la operación se acuerde a un tipo de  interés cero o por debajo de mercado. Con carácter general, se incluyen en esta categoría los créditos</w:t>
      </w:r>
      <w:r>
        <w:rPr>
          <w:spacing w:val="15"/>
        </w:rPr>
        <w:t> </w:t>
      </w:r>
      <w:r>
        <w:rPr/>
        <w:t>por</w:t>
      </w:r>
    </w:p>
    <w:p>
      <w:pPr>
        <w:spacing w:after="0" w:line="276" w:lineRule="auto"/>
        <w:jc w:val="both"/>
        <w:sectPr>
          <w:pgSz w:w="11900" w:h="16840"/>
          <w:pgMar w:header="739" w:footer="767" w:top="1600" w:bottom="960" w:left="1580" w:right="660"/>
        </w:sectPr>
      </w:pPr>
    </w:p>
    <w:p>
      <w:pPr>
        <w:pStyle w:val="BodyText"/>
        <w:spacing w:before="2"/>
        <w:rPr>
          <w:sz w:val="18"/>
        </w:rPr>
      </w:pPr>
    </w:p>
    <w:p>
      <w:pPr>
        <w:pStyle w:val="BodyText"/>
        <w:spacing w:line="276" w:lineRule="auto" w:before="61"/>
        <w:ind w:left="121" w:right="1030"/>
        <w:jc w:val="both"/>
      </w:pPr>
      <w:r>
        <w:rPr/>
        <w:t>operaciones comerciales (aquellos activos financieros que se originan en la venta de bienes y la prestación de servicios por operaciones de tráfico de la empresa con cobro aplazado), y los créditos por operaciones no comerciales aquellos activos financieros que, no siendo instrumentos de patrimonio ni derivados, no tienen origen comercial y cuyos cobros son de cuantía determinada o determinable, que proceden de operaciones de préstamo o crédito concedidos por la empresa). Es decir, dentro de esta categoría estarían los préstamos y cuentas a cobrar, así como aquellos valores representativos de deuda, con una fecha de vencimiento fijada, cobros de cuantía determinada o determinable, que se negocien en un mercado activo y que la Sociedad tiene intención y capacidad de conservar hasta su</w:t>
      </w:r>
      <w:r>
        <w:rPr>
          <w:spacing w:val="-5"/>
        </w:rPr>
        <w:t> </w:t>
      </w:r>
      <w:r>
        <w:rPr/>
        <w:t>vencimiento.</w:t>
      </w:r>
    </w:p>
    <w:p>
      <w:pPr>
        <w:pStyle w:val="BodyText"/>
        <w:spacing w:before="4"/>
        <w:rPr>
          <w:sz w:val="16"/>
        </w:rPr>
      </w:pPr>
    </w:p>
    <w:p>
      <w:pPr>
        <w:pStyle w:val="BodyText"/>
        <w:spacing w:line="276" w:lineRule="auto"/>
        <w:ind w:left="121" w:right="1029"/>
        <w:jc w:val="both"/>
      </w:pPr>
      <w:r>
        <w:rPr/>
        <w:t>Valoración inicial: Inicialmente se valoran por su valor razonable, más los costes de transacción que les sean directamente atribuibles. No obstante, los créditos por operaciones comerciales con vencimiento no superior a un año y que no tienen un tipo de interés contractual explícito, así como los créditos al personal, los dividendos a cobrar y los desembolsos exigidos sobre instrumentos de patrimonio, cuyo importe se espera recibir en el corto plazo, se podrán valorar por su valor nominal cuando el efecto de no actualizar los flujos de efectivo no sea significativo.</w:t>
      </w:r>
    </w:p>
    <w:p>
      <w:pPr>
        <w:pStyle w:val="BodyText"/>
        <w:spacing w:before="4"/>
        <w:rPr>
          <w:sz w:val="16"/>
        </w:rPr>
      </w:pPr>
    </w:p>
    <w:p>
      <w:pPr>
        <w:pStyle w:val="BodyText"/>
        <w:spacing w:line="273" w:lineRule="auto"/>
        <w:ind w:left="121" w:right="1030"/>
        <w:jc w:val="both"/>
      </w:pPr>
      <w:r>
        <w:rPr/>
        <w:t>Valoración posterior: se hace a coste amortizado y los intereses devengados se contabilizan en la cuenta de pérdidas y ganancias, aplicando el método del tipo de interés efectivo.</w:t>
      </w:r>
    </w:p>
    <w:p>
      <w:pPr>
        <w:pStyle w:val="BodyText"/>
        <w:spacing w:before="10"/>
        <w:rPr>
          <w:sz w:val="16"/>
        </w:rPr>
      </w:pPr>
    </w:p>
    <w:p>
      <w:pPr>
        <w:pStyle w:val="BodyText"/>
        <w:spacing w:line="273" w:lineRule="auto"/>
        <w:ind w:left="121" w:right="1030"/>
        <w:jc w:val="both"/>
      </w:pPr>
      <w:r>
        <w:rPr/>
        <w:t>No obstante, los créditos con vencimiento no superior a un año que, de acuerdo con lo dispuesto en el apartado anterior, se valoren inicialmente por su valor nominal, continuarán valorándose por dicho importe, salvo que se hubieran deteriorado.</w:t>
      </w:r>
    </w:p>
    <w:p>
      <w:pPr>
        <w:pStyle w:val="BodyText"/>
        <w:rPr>
          <w:sz w:val="17"/>
        </w:rPr>
      </w:pPr>
    </w:p>
    <w:p>
      <w:pPr>
        <w:pStyle w:val="BodyText"/>
        <w:spacing w:line="273" w:lineRule="auto"/>
        <w:ind w:left="121" w:right="1031"/>
        <w:jc w:val="both"/>
      </w:pPr>
      <w:r>
        <w:rPr/>
        <w:t>Cuando los flujos de efectivo contractuales de un activo financiero se modifican debido a las dificultades financieras del emisor, la empresa analizará si procede contabilizar una pérdida por deterioro de valor.</w:t>
      </w:r>
    </w:p>
    <w:p>
      <w:pPr>
        <w:pStyle w:val="BodyText"/>
        <w:spacing w:before="8"/>
        <w:rPr>
          <w:sz w:val="16"/>
        </w:rPr>
      </w:pPr>
    </w:p>
    <w:p>
      <w:pPr>
        <w:pStyle w:val="BodyText"/>
        <w:spacing w:line="273" w:lineRule="auto"/>
        <w:ind w:left="121" w:right="1031"/>
        <w:jc w:val="both"/>
      </w:pPr>
      <w:r>
        <w:rPr/>
        <w:t>Deterioro: La Sociedad registra los correspondientes deterioros por la diferencia existente entre el importe a recuperar de las cuentas por cobrar y el valor en libros por el que se encuentran registradas.</w:t>
      </w:r>
    </w:p>
    <w:p>
      <w:pPr>
        <w:pStyle w:val="BodyText"/>
        <w:spacing w:before="10"/>
        <w:rPr>
          <w:sz w:val="16"/>
        </w:rPr>
      </w:pPr>
    </w:p>
    <w:p>
      <w:pPr>
        <w:pStyle w:val="BodyText"/>
        <w:spacing w:line="276" w:lineRule="auto" w:before="1"/>
        <w:ind w:left="121" w:right="1031" w:firstLine="43"/>
        <w:jc w:val="both"/>
      </w:pPr>
      <w:r>
        <w:rPr/>
        <w:t>Al menos al cierre del ejercicio, se efectúan las correcciones valorativas necesarias siempre que existe evidencia objetiva de que el valor de un activo financiero incluido en esta categoría, o de un grupo de activos financieros con similares características de riesgo valorados colectivamente, se ha deteriorado como resultado de uno o más eventos que hayan ocurrido después de su reconocimiento inicial y que ocasionen una reducción o retraso en los flujos de efectivo estimados futuros, que pueden venir motivados por la insolvencia del deudor.</w:t>
      </w:r>
    </w:p>
    <w:p>
      <w:pPr>
        <w:pStyle w:val="BodyText"/>
        <w:spacing w:before="4"/>
        <w:rPr>
          <w:sz w:val="16"/>
        </w:rPr>
      </w:pPr>
    </w:p>
    <w:p>
      <w:pPr>
        <w:pStyle w:val="BodyText"/>
        <w:spacing w:line="276" w:lineRule="auto"/>
        <w:ind w:left="121" w:right="1030"/>
        <w:jc w:val="both"/>
      </w:pPr>
      <w:r>
        <w:rPr/>
        <w:t>La pérdida por deterioro del valor de estos activos financieros es la diferencia entre su valor en libros y el valor actual de los flujos de efectivo futuros, incluidos, en su caso, los procedentes de la ejecución de las garantías reales y personales, que se estima van a generar, descontados al tipo de interés efectivo calculado en el momento de su reconocimiento inicial.</w:t>
      </w:r>
    </w:p>
    <w:p>
      <w:pPr>
        <w:pStyle w:val="BodyText"/>
        <w:spacing w:before="5"/>
        <w:rPr>
          <w:sz w:val="16"/>
        </w:rPr>
      </w:pPr>
    </w:p>
    <w:p>
      <w:pPr>
        <w:pStyle w:val="BodyText"/>
        <w:spacing w:line="276" w:lineRule="auto"/>
        <w:ind w:left="121" w:right="1031"/>
        <w:jc w:val="both"/>
      </w:pPr>
      <w:r>
        <w:rPr/>
        <w:t>Las correcciones de valor por deterioro, así como su reversión cuando el importe de dicha pérdida disminuyese por causas relacionadas con un evento posterior, se reconocen como un gasto o un ingreso, respectivamente, en la cuenta de pérdidas y ganancias. La reversión del deterioro tiene como límite el valor en libros del activo que estaría reconocido en la fecha de reversión si no se hubiese registrado el deterioro del valor.</w:t>
      </w:r>
    </w:p>
    <w:p>
      <w:pPr>
        <w:pStyle w:val="BodyText"/>
        <w:spacing w:before="4"/>
        <w:rPr>
          <w:sz w:val="16"/>
        </w:rPr>
      </w:pPr>
    </w:p>
    <w:p>
      <w:pPr>
        <w:spacing w:line="273" w:lineRule="auto" w:before="1"/>
        <w:ind w:left="121" w:right="1031" w:firstLine="0"/>
        <w:jc w:val="both"/>
        <w:rPr>
          <w:sz w:val="19"/>
        </w:rPr>
      </w:pPr>
      <w:r>
        <w:rPr>
          <w:b/>
          <w:sz w:val="19"/>
        </w:rPr>
        <w:t>Activos financieros a valor razonable con cambios en la cuenta de pérdidas y ganancias. </w:t>
      </w:r>
      <w:r>
        <w:rPr>
          <w:sz w:val="19"/>
        </w:rPr>
        <w:t>Se incluyen en esta categoría todos los activos financieros, salvo que proceda su clasificación en alguna de las restantes categorías. Se incluyen obligatoriamente en esta categoría los activos financieros mantenidos para negociar.</w:t>
      </w:r>
    </w:p>
    <w:p>
      <w:pPr>
        <w:spacing w:after="0" w:line="273" w:lineRule="auto"/>
        <w:jc w:val="both"/>
        <w:rPr>
          <w:sz w:val="19"/>
        </w:rPr>
        <w:sectPr>
          <w:pgSz w:w="11900" w:h="16840"/>
          <w:pgMar w:header="739" w:footer="767" w:top="1600" w:bottom="960" w:left="1580" w:right="660"/>
        </w:sectPr>
      </w:pPr>
    </w:p>
    <w:p>
      <w:pPr>
        <w:pStyle w:val="BodyText"/>
        <w:spacing w:before="2"/>
        <w:rPr>
          <w:sz w:val="18"/>
        </w:rPr>
      </w:pPr>
    </w:p>
    <w:p>
      <w:pPr>
        <w:pStyle w:val="BodyText"/>
        <w:spacing w:line="273" w:lineRule="auto" w:before="61"/>
        <w:ind w:left="121" w:right="1030"/>
        <w:jc w:val="both"/>
      </w:pPr>
      <w:r>
        <w:rPr/>
        <w:t>Los instrumentos de patrimonio que no se mantienen para negociar, ni se valoran al coste, la empresa puede realizar la elección irrevocable en el momento de su reconocimiento inicial de presentar los cambios posteriores en el valor razonable directamente en el patrimonio neto.</w:t>
      </w:r>
    </w:p>
    <w:p>
      <w:pPr>
        <w:pStyle w:val="BodyText"/>
        <w:spacing w:before="10"/>
        <w:rPr>
          <w:sz w:val="16"/>
        </w:rPr>
      </w:pPr>
    </w:p>
    <w:p>
      <w:pPr>
        <w:pStyle w:val="BodyText"/>
        <w:spacing w:line="276" w:lineRule="auto"/>
        <w:ind w:left="121" w:right="1030"/>
        <w:jc w:val="both"/>
      </w:pPr>
      <w:r>
        <w:rPr/>
        <w:t>En todo caso, la empresa puede, en el momento del reconocimiento inicial, designar un activo financiero de forma irrevocable como medido al valor razonable con cambios en la cuenta de pérdidas y ganancias si haciéndolo elimina o reduce significativamente una incoherencia de valoración o asimetría</w:t>
      </w:r>
    </w:p>
    <w:p>
      <w:pPr>
        <w:pStyle w:val="BodyText"/>
        <w:spacing w:before="5"/>
        <w:rPr>
          <w:sz w:val="16"/>
        </w:rPr>
      </w:pPr>
    </w:p>
    <w:p>
      <w:pPr>
        <w:pStyle w:val="BodyText"/>
        <w:spacing w:line="273" w:lineRule="auto"/>
        <w:ind w:left="121" w:right="1032"/>
        <w:jc w:val="both"/>
      </w:pPr>
      <w:r>
        <w:rPr/>
        <w:t>Valoración inicial: Se valoran por su valor razonable. Los costes de transacción que les sean directamente atribuibles se reconocen en la cuenta de pérdidas y ganancias del ejercicio.</w:t>
      </w:r>
    </w:p>
    <w:p>
      <w:pPr>
        <w:pStyle w:val="BodyText"/>
        <w:spacing w:before="8"/>
        <w:rPr>
          <w:sz w:val="16"/>
        </w:rPr>
      </w:pPr>
    </w:p>
    <w:p>
      <w:pPr>
        <w:pStyle w:val="BodyText"/>
        <w:ind w:left="121"/>
        <w:jc w:val="both"/>
      </w:pPr>
      <w:r>
        <w:rPr/>
        <w:t>Valoración posterior: Valor razonable con cambios en la cuenta de pérdidas y ganancias.</w:t>
      </w:r>
    </w:p>
    <w:p>
      <w:pPr>
        <w:pStyle w:val="BodyText"/>
        <w:spacing w:before="4"/>
      </w:pPr>
    </w:p>
    <w:p>
      <w:pPr>
        <w:pStyle w:val="BodyText"/>
        <w:spacing w:line="273" w:lineRule="auto"/>
        <w:ind w:left="121" w:right="1031"/>
        <w:jc w:val="both"/>
      </w:pPr>
      <w:r>
        <w:rPr/>
        <w:t>Deterioro: No se deterioran puesto que están en todo momento valorados por su valor razonable, imputándose las variaciones de valor al resultado del ejercicio.</w:t>
      </w:r>
    </w:p>
    <w:p>
      <w:pPr>
        <w:pStyle w:val="BodyText"/>
        <w:spacing w:before="10"/>
        <w:rPr>
          <w:sz w:val="16"/>
        </w:rPr>
      </w:pPr>
    </w:p>
    <w:p>
      <w:pPr>
        <w:pStyle w:val="BodyText"/>
        <w:spacing w:line="276" w:lineRule="auto" w:before="1"/>
        <w:ind w:left="121" w:right="1030"/>
        <w:jc w:val="both"/>
      </w:pPr>
      <w:r>
        <w:rPr>
          <w:b/>
        </w:rPr>
        <w:t>Activos financieros a coste. </w:t>
      </w:r>
      <w:r>
        <w:rPr/>
        <w:t>Dentro de esta categoría se incluyen, entre otras, las inversiones en el patrimonio de empresas del grupo, multigrupo y asociadas, así como las restantes inversiones en instrumentos de patrimonio cuyo valor razonable no puede determinarse por referencia a un precio cotizado en un mercado activo para un instrumento idéntico, o no puede obtenerse una estimación fiable del mismo.</w:t>
      </w:r>
    </w:p>
    <w:p>
      <w:pPr>
        <w:pStyle w:val="BodyText"/>
        <w:spacing w:before="4"/>
        <w:rPr>
          <w:sz w:val="16"/>
        </w:rPr>
      </w:pPr>
    </w:p>
    <w:p>
      <w:pPr>
        <w:pStyle w:val="BodyText"/>
        <w:spacing w:line="276" w:lineRule="auto" w:before="1"/>
        <w:ind w:left="121" w:right="1031"/>
        <w:jc w:val="both"/>
      </w:pPr>
      <w:r>
        <w:rPr/>
        <w:t>Se incluirán también en esta categoría los préstamos participativos cuyos intereses tengan carácter contingente y cualquier otro activo financiero que inicialmente procediese clasificar en la cartera de valor razonable con cambios en la cuenta de pérdidas y ganancias cuando no sea posible obtener una estimación fiable de su valor razonable.</w:t>
      </w:r>
    </w:p>
    <w:p>
      <w:pPr>
        <w:pStyle w:val="BodyText"/>
        <w:spacing w:before="4"/>
        <w:rPr>
          <w:sz w:val="16"/>
        </w:rPr>
      </w:pPr>
    </w:p>
    <w:p>
      <w:pPr>
        <w:pStyle w:val="BodyText"/>
        <w:spacing w:line="273" w:lineRule="auto" w:before="1"/>
        <w:ind w:left="121" w:right="1031"/>
        <w:jc w:val="both"/>
      </w:pPr>
      <w:r>
        <w:rPr/>
        <w:t>Valoración inicial: Se valoran al coste, que equivale al valor razonable de la contraprestación entregada más los costes de transacción que les sean directamente atribuibles.</w:t>
      </w:r>
    </w:p>
    <w:p>
      <w:pPr>
        <w:pStyle w:val="BodyText"/>
        <w:spacing w:before="7"/>
        <w:rPr>
          <w:sz w:val="16"/>
        </w:rPr>
      </w:pPr>
    </w:p>
    <w:p>
      <w:pPr>
        <w:pStyle w:val="BodyText"/>
        <w:spacing w:line="273" w:lineRule="auto"/>
        <w:ind w:left="121" w:right="1031" w:hanging="1"/>
        <w:jc w:val="both"/>
      </w:pPr>
      <w:r>
        <w:rPr/>
        <w:t>Valoración posterior: Los instrumentos de patrimonio incluidos en esta categoría se valoran por su coste, menos, en su caso, el importe acumulado de las correcciones valorativas por deterioro.</w:t>
      </w:r>
    </w:p>
    <w:p>
      <w:pPr>
        <w:pStyle w:val="BodyText"/>
        <w:spacing w:before="10"/>
        <w:rPr>
          <w:sz w:val="16"/>
        </w:rPr>
      </w:pPr>
    </w:p>
    <w:p>
      <w:pPr>
        <w:pStyle w:val="BodyText"/>
        <w:spacing w:line="276" w:lineRule="auto" w:before="1"/>
        <w:ind w:left="121" w:right="1030"/>
        <w:jc w:val="both"/>
      </w:pPr>
      <w:r>
        <w:rPr/>
        <w:t>Deterioro: Al menos al cierre del ejercicio, se efectúan las correcciones valorativas necesarias siempre que existe evidencia objetiva de que el valor en libros de una inversión no es recuperable. La Sociedad registra los correspondientes deterioros por la diferencia existente entre el valor en libros y el importe recuperable, entendido éste como el mayor importe entre su valor razonable menos los costes de venta y el valor actual de los flujos de efectivo futuros derivados de la inversión, que para el caso de instrumentos de patrimonio se calculan, bien mediante la estimación de los que se espera recibir como consecuencia del reparto de dividendos realizado por la empresa participada y de la enajenación o baja en cuentas de la inversión en la misma, bien mediante la estimación de su participación en los flujos de efectivo que se espera sean generados por la empresa participada, procedentes tanto de sus actividades ordinarias como de su enajenación o baja en cuentas.</w:t>
      </w:r>
    </w:p>
    <w:p>
      <w:pPr>
        <w:pStyle w:val="BodyText"/>
        <w:spacing w:before="3"/>
        <w:rPr>
          <w:sz w:val="16"/>
        </w:rPr>
      </w:pPr>
    </w:p>
    <w:p>
      <w:pPr>
        <w:pStyle w:val="BodyText"/>
        <w:spacing w:line="276" w:lineRule="auto"/>
        <w:ind w:left="121" w:right="1031"/>
        <w:jc w:val="both"/>
      </w:pPr>
      <w:r>
        <w:rPr/>
        <w:t>Salvo mejor evidencia del importe recuperable de las inversiones en instrumentos de patrimonio, la estimación de la pérdida por deterioro de esta clase de activos se calcula en función del patrimonio neto de la Fundación participada y de las plusvalías tácitas existentes en la fecha de la valoración, netas del efecto impositivo. En la determinación de ese valor, y siempre que la empresa participada haya invertido a su vez en otra, se tiene en cuenta el patrimonio neto incluido en las cuentas anuales consolidadas elaboradas aplicando los criterios del Código de Comercio y sus normas de desarrollo.</w:t>
      </w:r>
    </w:p>
    <w:p>
      <w:pPr>
        <w:pStyle w:val="BodyText"/>
        <w:spacing w:before="6"/>
        <w:rPr>
          <w:sz w:val="16"/>
        </w:rPr>
      </w:pPr>
    </w:p>
    <w:p>
      <w:pPr>
        <w:pStyle w:val="BodyText"/>
        <w:spacing w:line="276" w:lineRule="auto"/>
        <w:ind w:left="121" w:right="1030"/>
        <w:jc w:val="both"/>
      </w:pPr>
      <w:r>
        <w:rPr/>
        <w:t>El reconocimiento de las correcciones valorativas por deterioro de valor y, en su caso, su reversión, se registran como un gasto o un ingreso, respectivamente, en la cuenta de pérdidas y ganancias. La reversión del</w:t>
      </w:r>
    </w:p>
    <w:p>
      <w:pPr>
        <w:spacing w:after="0" w:line="276" w:lineRule="auto"/>
        <w:jc w:val="both"/>
        <w:sectPr>
          <w:pgSz w:w="11900" w:h="16840"/>
          <w:pgMar w:header="739" w:footer="767" w:top="1600" w:bottom="960" w:left="1580" w:right="660"/>
        </w:sectPr>
      </w:pPr>
    </w:p>
    <w:p>
      <w:pPr>
        <w:pStyle w:val="BodyText"/>
        <w:spacing w:before="2"/>
        <w:rPr>
          <w:sz w:val="18"/>
        </w:rPr>
      </w:pPr>
    </w:p>
    <w:p>
      <w:pPr>
        <w:pStyle w:val="BodyText"/>
        <w:spacing w:line="273" w:lineRule="auto" w:before="61"/>
        <w:ind w:left="121" w:right="1032" w:hanging="1"/>
        <w:jc w:val="both"/>
      </w:pPr>
      <w:r>
        <w:rPr/>
        <w:t>deterioro tendrá como límite el valor en libros de la inversión que estaría reconocida en la fecha de reversión si no se hubiese registrado el deterioro del valor.</w:t>
      </w:r>
    </w:p>
    <w:p>
      <w:pPr>
        <w:pStyle w:val="BodyText"/>
        <w:rPr>
          <w:sz w:val="18"/>
        </w:rPr>
      </w:pPr>
    </w:p>
    <w:p>
      <w:pPr>
        <w:pStyle w:val="BodyText"/>
        <w:rPr>
          <w:sz w:val="18"/>
        </w:rPr>
      </w:pPr>
    </w:p>
    <w:p>
      <w:pPr>
        <w:pStyle w:val="BodyText"/>
      </w:pPr>
    </w:p>
    <w:p>
      <w:pPr>
        <w:pStyle w:val="BodyText"/>
        <w:spacing w:line="276" w:lineRule="auto"/>
        <w:ind w:left="121" w:right="1030"/>
        <w:jc w:val="both"/>
      </w:pPr>
      <w:r>
        <w:rPr>
          <w:b/>
        </w:rPr>
        <w:t>Activos financieros a valor razonable con cambios en el patrimonio neto. </w:t>
      </w:r>
      <w:r>
        <w:rPr/>
        <w:t>Un activo financiero se incluye en esta categoría cuando las condiciones contractuales del activo financiero dan lugar, en fechas especificadas, a flujos de efectivo que son únicamente cobros de principal e intereses sobre el importe del principal pendiente, y no se mantiene para negociar ni proceda clasificarlo en la categoría de activos financieros a coste amortizado. También se incluyen en esta categoría las inversiones en instrumentos de patrimonio para las que, debiéndose haberse incluido en la categoría de activos financieros a valor razonable con cambios en pérdidas y ganancias, se ha ejercitado la opción irrevocable de clasificarlas en esta</w:t>
      </w:r>
      <w:r>
        <w:rPr>
          <w:spacing w:val="-13"/>
        </w:rPr>
        <w:t> </w:t>
      </w:r>
      <w:r>
        <w:rPr/>
        <w:t>categoría.</w:t>
      </w:r>
    </w:p>
    <w:p>
      <w:pPr>
        <w:pStyle w:val="BodyText"/>
        <w:spacing w:before="4"/>
        <w:rPr>
          <w:sz w:val="16"/>
        </w:rPr>
      </w:pPr>
    </w:p>
    <w:p>
      <w:pPr>
        <w:pStyle w:val="BodyText"/>
        <w:spacing w:line="273" w:lineRule="auto"/>
        <w:ind w:left="121" w:right="1030"/>
        <w:jc w:val="both"/>
      </w:pPr>
      <w:r>
        <w:rPr/>
        <w:t>Valoración inicial: Valor razonable, que, salvo evidencia en contrario, es el precio de la transacción, que equivale al valor razonable de la contraprestación entregada, más los costes de transacción que les son directamente atribuibles</w:t>
      </w:r>
    </w:p>
    <w:p>
      <w:pPr>
        <w:pStyle w:val="BodyText"/>
        <w:rPr>
          <w:sz w:val="17"/>
        </w:rPr>
      </w:pPr>
    </w:p>
    <w:p>
      <w:pPr>
        <w:pStyle w:val="BodyText"/>
        <w:spacing w:line="276" w:lineRule="auto"/>
        <w:ind w:left="121" w:right="1030"/>
        <w:jc w:val="both"/>
      </w:pPr>
      <w:r>
        <w:rPr/>
        <w:t>Valoración posterior: Valor razonable, sin deducir los costes de transacción en que se pueda incurrir en su enajenación. Los cambios que se producen en el valor razonable se registran directamente en el patrimonio neto, hasta que el activo financiero causa baja del balance o se deteriora, momento en que el importe así reconocido, se imputa a la cuenta de pérdidas y ganancias</w:t>
      </w:r>
    </w:p>
    <w:p>
      <w:pPr>
        <w:pStyle w:val="BodyText"/>
        <w:spacing w:before="5"/>
        <w:rPr>
          <w:sz w:val="16"/>
        </w:rPr>
      </w:pPr>
    </w:p>
    <w:p>
      <w:pPr>
        <w:pStyle w:val="BodyText"/>
        <w:spacing w:line="276" w:lineRule="auto"/>
        <w:ind w:left="121" w:right="1030"/>
        <w:jc w:val="both"/>
      </w:pPr>
      <w:r>
        <w:rPr/>
        <w:t>Deterioro: Al menos al cierre del ejercicio, se efectúan las correcciones valorativas necesarias siempre que existe evidencia objetiva de que el valor de un activo financiero se ha deteriorado como resultado de uno o más eventos que hayan ocurrido después de su reconocimiento inicial, y que ocasionen: - retraso en los flujos de efectivo estimados futuros; o - la falta de recuperabilidad del valor en libros del activo, evidenciada, por ejemplo, por un descenso prolongado o significativo en su valor razonable.</w:t>
      </w:r>
    </w:p>
    <w:p>
      <w:pPr>
        <w:pStyle w:val="BodyText"/>
        <w:spacing w:before="4"/>
        <w:rPr>
          <w:sz w:val="16"/>
        </w:rPr>
      </w:pPr>
    </w:p>
    <w:p>
      <w:pPr>
        <w:pStyle w:val="BodyText"/>
        <w:spacing w:line="276" w:lineRule="auto" w:before="1"/>
        <w:ind w:left="121" w:right="1030"/>
        <w:jc w:val="both"/>
      </w:pPr>
      <w:r>
        <w:rPr/>
        <w:t>La corrección valorativa por deterioro del valor de estos activos financieros es la diferencia entre su coste o coste amortizado menos, en su caso, cualquier corrección valorativa por deterioro previamente reconocida  en la cuenta de pérdidas y ganancias y el valor razonable en el momento en que se efectúe la valoración. Las pérdidas acumuladas reconocidas en el patrimonio neto por disminución del valor razonable, siempre que exista una evidencia objetiva de deterioro en el valor del activo, se reconocen en la cuenta de pérdidas y ganancias.</w:t>
      </w:r>
    </w:p>
    <w:p>
      <w:pPr>
        <w:pStyle w:val="BodyText"/>
        <w:spacing w:before="4"/>
        <w:rPr>
          <w:sz w:val="16"/>
        </w:rPr>
      </w:pPr>
    </w:p>
    <w:p>
      <w:pPr>
        <w:pStyle w:val="BodyText"/>
        <w:spacing w:line="276" w:lineRule="auto"/>
        <w:ind w:left="121" w:right="1030"/>
        <w:jc w:val="both"/>
      </w:pPr>
      <w:r>
        <w:rPr/>
        <w:t>Si en ejercicios posteriores se incrementa el valor razonable, la corrección valorativa reconocida en ejercicios anteriores revierte con abono a la cuenta de pérdidas y ganancias del ejercicio. No obstante, en el caso de que se incrementase el valor razonable correspondiente a un instrumento de patrimonio, la corrección valorativa reconocida en ejercicios anteriores no revertirá con abono a la cuenta de pérdidas y ganancias y se registra el incremento de valor razonable directamente contra el patrimonio</w:t>
      </w:r>
      <w:r>
        <w:rPr>
          <w:spacing w:val="-12"/>
        </w:rPr>
        <w:t> </w:t>
      </w:r>
      <w:r>
        <w:rPr/>
        <w:t>neto.</w:t>
      </w:r>
    </w:p>
    <w:p>
      <w:pPr>
        <w:pStyle w:val="BodyText"/>
        <w:spacing w:before="2"/>
        <w:rPr>
          <w:sz w:val="16"/>
        </w:rPr>
      </w:pPr>
    </w:p>
    <w:p>
      <w:pPr>
        <w:pStyle w:val="Heading6"/>
        <w:jc w:val="both"/>
        <w:rPr>
          <w:i/>
        </w:rPr>
      </w:pPr>
      <w:r>
        <w:rPr>
          <w:i/>
        </w:rPr>
        <w:t>Intereses y dividendos recibidos de activos financieros-</w:t>
      </w:r>
    </w:p>
    <w:p>
      <w:pPr>
        <w:pStyle w:val="BodyText"/>
        <w:spacing w:before="4"/>
        <w:rPr>
          <w:b/>
          <w:i/>
        </w:rPr>
      </w:pPr>
    </w:p>
    <w:p>
      <w:pPr>
        <w:pStyle w:val="BodyText"/>
        <w:spacing w:line="276" w:lineRule="auto"/>
        <w:ind w:left="121" w:right="1030"/>
        <w:jc w:val="both"/>
      </w:pPr>
      <w:r>
        <w:rPr/>
        <w:t>Los intereses y dividendos de activos financieros devengados con posterioridad al momento de la adquisición se reconocen como ingresos en la cuenta de resultados. Los intereses se reconocen por el método del tipo de interés efectivo y los ingresos por dividendos procedentes de inversiones en instrumentos de patrimonio se reconocen cuando han surgido los derechos para la Fundación a su percepción.</w:t>
      </w:r>
    </w:p>
    <w:p>
      <w:pPr>
        <w:pStyle w:val="BodyText"/>
        <w:spacing w:before="5"/>
        <w:rPr>
          <w:sz w:val="16"/>
        </w:rPr>
      </w:pPr>
    </w:p>
    <w:p>
      <w:pPr>
        <w:pStyle w:val="BodyText"/>
        <w:spacing w:line="273" w:lineRule="auto"/>
        <w:ind w:left="121" w:right="1033"/>
        <w:jc w:val="both"/>
      </w:pPr>
      <w:r>
        <w:rPr/>
        <w:t>En la valoración inicial de los activos financieros se registran de forma independiente, atendiendo a su vencimiento, el importe de los intereses explícitos devengados y no vencidos en dicho momento, así como el importe de los dividendos acordados por el órgano competente en el momento de la adquisición.</w:t>
      </w:r>
    </w:p>
    <w:p>
      <w:pPr>
        <w:spacing w:after="0" w:line="273" w:lineRule="auto"/>
        <w:jc w:val="both"/>
        <w:sectPr>
          <w:pgSz w:w="11900" w:h="16840"/>
          <w:pgMar w:header="739" w:footer="767" w:top="1600" w:bottom="960" w:left="1580" w:right="660"/>
        </w:sectPr>
      </w:pPr>
    </w:p>
    <w:p>
      <w:pPr>
        <w:pStyle w:val="BodyText"/>
        <w:spacing w:before="11"/>
        <w:rPr>
          <w:sz w:val="17"/>
        </w:rPr>
      </w:pPr>
    </w:p>
    <w:p>
      <w:pPr>
        <w:pStyle w:val="Heading6"/>
        <w:spacing w:before="62"/>
        <w:rPr>
          <w:i/>
        </w:rPr>
      </w:pPr>
      <w:r>
        <w:rPr>
          <w:i/>
        </w:rPr>
        <w:t>Baja de activos financieros-</w:t>
      </w:r>
    </w:p>
    <w:p>
      <w:pPr>
        <w:pStyle w:val="BodyText"/>
        <w:spacing w:before="4"/>
        <w:rPr>
          <w:b/>
          <w:i/>
        </w:rPr>
      </w:pPr>
    </w:p>
    <w:p>
      <w:pPr>
        <w:pStyle w:val="BodyText"/>
        <w:spacing w:line="276" w:lineRule="auto"/>
        <w:ind w:left="121" w:right="1031"/>
        <w:jc w:val="both"/>
      </w:pPr>
      <w:r>
        <w:rPr/>
        <w:t>La Fundación da de baja los activos financieros cuando expiran o se han cedido los derechos sobre los flujos de efectivo del correspondiente activo financiero y se han transferido sustancialmente los riesgos y beneficios inherentes a su propiedad. En el caso concreto de cuentas a cobrar se entiende que este hecho se produce en general si se han transmitido los riesgos de insolvencia y</w:t>
      </w:r>
      <w:r>
        <w:rPr>
          <w:spacing w:val="-3"/>
        </w:rPr>
        <w:t> </w:t>
      </w:r>
      <w:r>
        <w:rPr/>
        <w:t>mora.</w:t>
      </w:r>
    </w:p>
    <w:p>
      <w:pPr>
        <w:pStyle w:val="BodyText"/>
        <w:spacing w:before="5"/>
        <w:rPr>
          <w:sz w:val="16"/>
        </w:rPr>
      </w:pPr>
    </w:p>
    <w:p>
      <w:pPr>
        <w:pStyle w:val="BodyText"/>
        <w:spacing w:line="276" w:lineRule="auto"/>
        <w:ind w:left="121" w:right="1030"/>
        <w:jc w:val="both"/>
      </w:pPr>
      <w:r>
        <w:rPr/>
        <w:t>Cuando el activo financiero se da de baja la diferencia entre la contraprestación recibida neta de los costes de transacción atribuibles y el valor en libros del activo, más cualquier importe acumulado que se haya reconocido directamente en el patrimonio neto, determina la ganancia o pérdida surgida al dar de baja dicho activo, que forma parte del resultado del ejercicio en que ésta se produce.</w:t>
      </w:r>
    </w:p>
    <w:p>
      <w:pPr>
        <w:pStyle w:val="BodyText"/>
        <w:spacing w:before="5"/>
        <w:rPr>
          <w:sz w:val="16"/>
        </w:rPr>
      </w:pPr>
    </w:p>
    <w:p>
      <w:pPr>
        <w:pStyle w:val="BodyText"/>
        <w:spacing w:line="273" w:lineRule="auto"/>
        <w:ind w:left="121" w:right="1031"/>
        <w:jc w:val="both"/>
      </w:pPr>
      <w:r>
        <w:rPr/>
        <w:t>Por el contrario, la Fundación no da de baja los activos financieros, y reconoce un pasivo financiero por un importe igual a la contraprestación recibida, en las cesiones de activos financieros en las que se retenga sustancialmente los riesgos y beneficios inherentes a su propiedad.</w:t>
      </w:r>
    </w:p>
    <w:p>
      <w:pPr>
        <w:pStyle w:val="BodyText"/>
        <w:spacing w:before="10"/>
        <w:rPr>
          <w:sz w:val="16"/>
        </w:rPr>
      </w:pPr>
    </w:p>
    <w:p>
      <w:pPr>
        <w:pStyle w:val="ListParagraph"/>
        <w:numPr>
          <w:ilvl w:val="2"/>
          <w:numId w:val="8"/>
        </w:numPr>
        <w:tabs>
          <w:tab w:pos="597" w:val="left" w:leader="none"/>
        </w:tabs>
        <w:spacing w:line="240" w:lineRule="auto" w:before="0" w:after="0"/>
        <w:ind w:left="596" w:right="0" w:hanging="476"/>
        <w:jc w:val="left"/>
        <w:rPr>
          <w:sz w:val="19"/>
        </w:rPr>
      </w:pPr>
      <w:r>
        <w:rPr>
          <w:sz w:val="19"/>
        </w:rPr>
        <w:t>Efectivo y otros medios líquidos</w:t>
      </w:r>
      <w:r>
        <w:rPr>
          <w:spacing w:val="-1"/>
          <w:sz w:val="19"/>
        </w:rPr>
        <w:t> </w:t>
      </w:r>
      <w:r>
        <w:rPr>
          <w:sz w:val="19"/>
        </w:rPr>
        <w:t>equivalentes</w:t>
      </w:r>
    </w:p>
    <w:p>
      <w:pPr>
        <w:pStyle w:val="BodyText"/>
        <w:spacing w:before="4"/>
      </w:pPr>
    </w:p>
    <w:p>
      <w:pPr>
        <w:pStyle w:val="BodyText"/>
        <w:spacing w:line="273" w:lineRule="auto"/>
        <w:ind w:left="121" w:right="1031"/>
        <w:jc w:val="both"/>
      </w:pPr>
      <w:r>
        <w:rPr/>
        <w:t>Bajo este epígrafe del balance adjunto se registra el efectivo en caja y bancos, depósitos a la vista y otras inversiones a corto plazo con vencimiento inferior a tres meses de alta liquidez que son rápidamente realizables en caja y que no tienen riesgo de cambios en su valor.</w:t>
      </w:r>
    </w:p>
    <w:p>
      <w:pPr>
        <w:pStyle w:val="BodyText"/>
        <w:spacing w:before="10"/>
        <w:rPr>
          <w:sz w:val="16"/>
        </w:rPr>
      </w:pPr>
    </w:p>
    <w:p>
      <w:pPr>
        <w:pStyle w:val="ListParagraph"/>
        <w:numPr>
          <w:ilvl w:val="2"/>
          <w:numId w:val="8"/>
        </w:numPr>
        <w:tabs>
          <w:tab w:pos="597" w:val="left" w:leader="none"/>
        </w:tabs>
        <w:spacing w:line="240" w:lineRule="auto" w:before="0" w:after="0"/>
        <w:ind w:left="596" w:right="0" w:hanging="476"/>
        <w:jc w:val="left"/>
        <w:rPr>
          <w:sz w:val="19"/>
        </w:rPr>
      </w:pPr>
      <w:r>
        <w:rPr>
          <w:sz w:val="19"/>
        </w:rPr>
        <w:t>Pasivos</w:t>
      </w:r>
      <w:r>
        <w:rPr>
          <w:spacing w:val="-1"/>
          <w:sz w:val="19"/>
        </w:rPr>
        <w:t> </w:t>
      </w:r>
      <w:r>
        <w:rPr>
          <w:sz w:val="19"/>
        </w:rPr>
        <w:t>financieros</w:t>
      </w:r>
    </w:p>
    <w:p>
      <w:pPr>
        <w:pStyle w:val="BodyText"/>
        <w:spacing w:before="1"/>
      </w:pPr>
    </w:p>
    <w:p>
      <w:pPr>
        <w:pStyle w:val="BodyText"/>
        <w:spacing w:before="1"/>
        <w:ind w:left="121"/>
      </w:pPr>
      <w:r>
        <w:rPr/>
        <w:t>Los pasivos financieros, a efectos de su valoración, se incluyen en alguna de las siguientes categorías:</w:t>
      </w:r>
    </w:p>
    <w:p>
      <w:pPr>
        <w:pStyle w:val="BodyText"/>
        <w:spacing w:before="6"/>
      </w:pPr>
    </w:p>
    <w:p>
      <w:pPr>
        <w:pStyle w:val="BodyText"/>
        <w:spacing w:line="276" w:lineRule="auto"/>
        <w:ind w:left="121" w:right="1031"/>
        <w:jc w:val="both"/>
      </w:pPr>
      <w:r>
        <w:rPr>
          <w:b/>
        </w:rPr>
        <w:t>Pasivos Financieros a coste Amortizado</w:t>
      </w:r>
      <w:r>
        <w:rPr/>
        <w:t>. Dentro de esta categoría se clasifican todos los pasivos financieros excepto cuando deben valorarse a valor razonable con cambios en la cuenta de pérdidas y ganancias. Con carácter general, se incluyen en esta categoría los débitos por operaciones comerciales y los débitos por operaciones no comerciales.</w:t>
      </w:r>
    </w:p>
    <w:p>
      <w:pPr>
        <w:pStyle w:val="BodyText"/>
        <w:spacing w:before="5"/>
        <w:rPr>
          <w:sz w:val="16"/>
        </w:rPr>
      </w:pPr>
    </w:p>
    <w:p>
      <w:pPr>
        <w:pStyle w:val="BodyText"/>
        <w:spacing w:line="273" w:lineRule="auto"/>
        <w:ind w:left="121" w:right="1030"/>
        <w:jc w:val="both"/>
      </w:pPr>
      <w:r>
        <w:rPr/>
        <w:t>Los préstamos participativos que tengan las características de un préstamo ordinario o común también se incluirán en esta categoría sin perjuicio de que la operación se acuerde a un tipo de interés cero o por debajo de</w:t>
      </w:r>
      <w:r>
        <w:rPr>
          <w:spacing w:val="-1"/>
        </w:rPr>
        <w:t> </w:t>
      </w:r>
      <w:r>
        <w:rPr/>
        <w:t>mercado.</w:t>
      </w:r>
    </w:p>
    <w:p>
      <w:pPr>
        <w:pStyle w:val="BodyText"/>
        <w:spacing w:before="10"/>
        <w:rPr>
          <w:sz w:val="16"/>
        </w:rPr>
      </w:pPr>
    </w:p>
    <w:p>
      <w:pPr>
        <w:pStyle w:val="BodyText"/>
        <w:spacing w:line="276" w:lineRule="auto"/>
        <w:ind w:left="121" w:right="1030"/>
        <w:jc w:val="both"/>
      </w:pPr>
      <w:r>
        <w:rPr/>
        <w:t>Valoración inicial: Inicialmente se valoran por su valor razonable, que, salvo evidencia en contrario, es el precio de la transacción, que equivale al valor razonable de la contraprestación recibida ajustado por los costes de transacción que le sean directamente atribuibles. No obstante, los débitos por operaciones comerciales con vencimiento no superior a un año y que no tengan un tipo de interés contractual, así como los desembolsos exigidos por terceros sobre participaciones, cuyo importe se espera pagar en el corto plazo, se pueden valorar por su valor nominal, cuando el efecto de no actualizar los flujos de efectivo no sea significativo.</w:t>
      </w:r>
    </w:p>
    <w:p>
      <w:pPr>
        <w:pStyle w:val="BodyText"/>
        <w:spacing w:before="6"/>
        <w:rPr>
          <w:sz w:val="16"/>
        </w:rPr>
      </w:pPr>
    </w:p>
    <w:p>
      <w:pPr>
        <w:pStyle w:val="BodyText"/>
        <w:spacing w:line="276" w:lineRule="auto"/>
        <w:ind w:left="121" w:right="1030"/>
        <w:jc w:val="both"/>
      </w:pPr>
      <w:r>
        <w:rPr/>
        <w:t>Valoración posterior: se hace a coste amortizado. Los intereses devengados se contabilizan en la cuenta de pérdidas y ganancias, aplicando el método del tipo de interés efectivo. No obstante, los débitos con vencimiento no superior a un año que, de acuerdo con lo dispuesto en el apartado anterior, se valoren inicialmente por su valor nominal, continuarán valorándose por dicho importe.</w:t>
      </w:r>
    </w:p>
    <w:p>
      <w:pPr>
        <w:pStyle w:val="BodyText"/>
        <w:spacing w:before="5"/>
        <w:rPr>
          <w:sz w:val="16"/>
        </w:rPr>
      </w:pPr>
    </w:p>
    <w:p>
      <w:pPr>
        <w:spacing w:line="273" w:lineRule="auto" w:before="0"/>
        <w:ind w:left="121" w:right="1031" w:firstLine="0"/>
        <w:jc w:val="both"/>
        <w:rPr>
          <w:sz w:val="19"/>
        </w:rPr>
      </w:pPr>
      <w:r>
        <w:rPr>
          <w:b/>
          <w:sz w:val="19"/>
        </w:rPr>
        <w:t>Pasivos Financieros a valor razonable con cambios en la cuenta de pérdidas y ganancias. </w:t>
      </w:r>
      <w:r>
        <w:rPr>
          <w:sz w:val="19"/>
        </w:rPr>
        <w:t>Dentro de esta categoría se clasifican los pasivos financieros que cumplan algunas de las siguientes condiciones:</w:t>
      </w:r>
    </w:p>
    <w:p>
      <w:pPr>
        <w:pStyle w:val="BodyText"/>
        <w:spacing w:before="6"/>
        <w:rPr>
          <w:sz w:val="16"/>
        </w:rPr>
      </w:pPr>
    </w:p>
    <w:p>
      <w:pPr>
        <w:pStyle w:val="BodyText"/>
        <w:ind w:left="121"/>
      </w:pPr>
      <w:r>
        <w:rPr/>
        <w:t>Son pasivos que se mantienen para negociar;</w:t>
      </w:r>
    </w:p>
    <w:p>
      <w:pPr>
        <w:spacing w:after="0"/>
        <w:sectPr>
          <w:pgSz w:w="11900" w:h="16840"/>
          <w:pgMar w:header="739" w:footer="767" w:top="1600" w:bottom="960" w:left="1580" w:right="660"/>
        </w:sectPr>
      </w:pPr>
    </w:p>
    <w:p>
      <w:pPr>
        <w:pStyle w:val="BodyText"/>
        <w:spacing w:before="2"/>
        <w:rPr>
          <w:sz w:val="18"/>
        </w:rPr>
      </w:pPr>
    </w:p>
    <w:p>
      <w:pPr>
        <w:pStyle w:val="BodyText"/>
        <w:spacing w:line="273" w:lineRule="auto" w:before="61"/>
        <w:ind w:left="121" w:right="1031"/>
        <w:jc w:val="both"/>
      </w:pPr>
      <w:r>
        <w:rPr/>
        <w:t>Son pasivos, que, desde el momento del reconocimiento inicial, y de forma irrevocable, han sido designados por la Fundación para contabilizarlo al valor razonable con cambios en la cuenta de pérdidas y ganancias, siempre que dicha designación cumpla con nel objetivo fijado en la normativa contable.</w:t>
      </w:r>
    </w:p>
    <w:p>
      <w:pPr>
        <w:pStyle w:val="BodyText"/>
        <w:spacing w:before="10"/>
        <w:rPr>
          <w:sz w:val="16"/>
        </w:rPr>
      </w:pPr>
    </w:p>
    <w:p>
      <w:pPr>
        <w:pStyle w:val="BodyText"/>
        <w:spacing w:line="276" w:lineRule="auto"/>
        <w:ind w:left="121" w:right="1031"/>
        <w:jc w:val="both"/>
      </w:pPr>
      <w:r>
        <w:rPr/>
        <w:t>Opcionalmente y de forma irrevocable, se pueden incluir en su integridad en esta categoría los pasivos financieros híbridos sujeto a los requisitos establecidos en el PGC.</w:t>
      </w:r>
    </w:p>
    <w:p>
      <w:pPr>
        <w:pStyle w:val="BodyText"/>
        <w:spacing w:before="5"/>
        <w:rPr>
          <w:sz w:val="16"/>
        </w:rPr>
      </w:pPr>
    </w:p>
    <w:p>
      <w:pPr>
        <w:pStyle w:val="BodyText"/>
        <w:spacing w:line="273" w:lineRule="auto" w:before="1"/>
        <w:ind w:left="121" w:right="1030"/>
        <w:jc w:val="both"/>
      </w:pPr>
      <w:r>
        <w:rPr/>
        <w:t>Valoración inicial: Valor razonable, que, salvo evidencia en contrario, es el precio de la transacción, que equivaldrá al valor razonable de la contraprestación recibida. Los costes de transacción que les sean directamente atribuibles se reconocen en la cuenta de pérdidas y ganancias del ejercicio.</w:t>
      </w:r>
    </w:p>
    <w:p>
      <w:pPr>
        <w:pStyle w:val="BodyText"/>
        <w:spacing w:before="9"/>
        <w:rPr>
          <w:sz w:val="16"/>
        </w:rPr>
      </w:pPr>
    </w:p>
    <w:p>
      <w:pPr>
        <w:pStyle w:val="BodyText"/>
        <w:ind w:left="121"/>
        <w:jc w:val="both"/>
      </w:pPr>
      <w:r>
        <w:rPr/>
        <w:t>Valoración posterior: Valor razonable con cambios en la cuenta de pérdidas y ganancias.</w:t>
      </w:r>
    </w:p>
    <w:p>
      <w:pPr>
        <w:pStyle w:val="BodyText"/>
        <w:spacing w:before="2"/>
      </w:pPr>
    </w:p>
    <w:p>
      <w:pPr>
        <w:spacing w:before="0"/>
        <w:ind w:left="121" w:right="0" w:firstLine="0"/>
        <w:jc w:val="both"/>
        <w:rPr>
          <w:b/>
          <w:sz w:val="19"/>
        </w:rPr>
      </w:pPr>
      <w:r>
        <w:rPr>
          <w:b/>
          <w:sz w:val="19"/>
        </w:rPr>
        <w:t>Baja de pasivos financieros</w:t>
      </w:r>
    </w:p>
    <w:p>
      <w:pPr>
        <w:pStyle w:val="BodyText"/>
        <w:spacing w:before="7"/>
        <w:rPr>
          <w:b/>
        </w:rPr>
      </w:pPr>
    </w:p>
    <w:p>
      <w:pPr>
        <w:pStyle w:val="BodyText"/>
        <w:spacing w:line="273" w:lineRule="auto"/>
        <w:ind w:left="121" w:right="1033"/>
        <w:jc w:val="both"/>
      </w:pPr>
      <w:r>
        <w:rPr/>
        <w:t>La empresa dará de baja un pasivo financiero, o parte del mismo, cuando la obligación se haya extinguido; es decir, cuando haya sido satisfecha, cancelada o haya expirado.</w:t>
      </w:r>
    </w:p>
    <w:p>
      <w:pPr>
        <w:pStyle w:val="BodyText"/>
        <w:spacing w:before="5"/>
        <w:rPr>
          <w:sz w:val="16"/>
        </w:rPr>
      </w:pPr>
    </w:p>
    <w:p>
      <w:pPr>
        <w:pStyle w:val="ListParagraph"/>
        <w:numPr>
          <w:ilvl w:val="2"/>
          <w:numId w:val="8"/>
        </w:numPr>
        <w:tabs>
          <w:tab w:pos="597" w:val="left" w:leader="none"/>
        </w:tabs>
        <w:spacing w:line="240" w:lineRule="auto" w:before="0" w:after="0"/>
        <w:ind w:left="596" w:right="0" w:hanging="476"/>
        <w:jc w:val="left"/>
        <w:rPr>
          <w:sz w:val="19"/>
        </w:rPr>
      </w:pPr>
      <w:r>
        <w:rPr>
          <w:sz w:val="19"/>
        </w:rPr>
        <w:t>Inversiones en Fundaciones del grupo, multigrupo y</w:t>
      </w:r>
      <w:r>
        <w:rPr>
          <w:spacing w:val="-1"/>
          <w:sz w:val="19"/>
        </w:rPr>
        <w:t> </w:t>
      </w:r>
      <w:r>
        <w:rPr>
          <w:sz w:val="19"/>
        </w:rPr>
        <w:t>asociadas</w:t>
      </w:r>
    </w:p>
    <w:p>
      <w:pPr>
        <w:pStyle w:val="BodyText"/>
        <w:spacing w:before="7"/>
      </w:pPr>
    </w:p>
    <w:p>
      <w:pPr>
        <w:pStyle w:val="BodyText"/>
        <w:spacing w:line="273" w:lineRule="auto"/>
        <w:ind w:left="121" w:right="1030"/>
        <w:jc w:val="both"/>
      </w:pPr>
      <w:r>
        <w:rPr/>
        <w:t>Las inversiones en Fundaciones del grupo, multigrupo y asociadas, se valoran inicialmente por su coste, que equivale al valor razonable de la contraprestación entregada más los costes de transacción.</w:t>
      </w:r>
    </w:p>
    <w:p>
      <w:pPr>
        <w:pStyle w:val="BodyText"/>
        <w:spacing w:before="7"/>
        <w:rPr>
          <w:sz w:val="16"/>
        </w:rPr>
      </w:pPr>
    </w:p>
    <w:p>
      <w:pPr>
        <w:pStyle w:val="BodyText"/>
        <w:spacing w:line="276" w:lineRule="auto" w:before="1"/>
        <w:ind w:left="121" w:right="1031"/>
        <w:jc w:val="both"/>
      </w:pPr>
      <w:r>
        <w:rPr/>
        <w:t>Al menos al cierre del ejercicio, la Fundación procede a evaluar si ha existido deterioro de valor de las inversiones. Las correcciones valorativas por deterioro y en su caso la reversión, se llevan como gasto o ingreso, respectivamente, en la cuenta de resultados.</w:t>
      </w:r>
    </w:p>
    <w:p>
      <w:pPr>
        <w:pStyle w:val="BodyText"/>
        <w:spacing w:before="5"/>
        <w:rPr>
          <w:sz w:val="16"/>
        </w:rPr>
      </w:pPr>
    </w:p>
    <w:p>
      <w:pPr>
        <w:pStyle w:val="BodyText"/>
        <w:spacing w:line="276" w:lineRule="auto"/>
        <w:ind w:left="121" w:right="1030" w:hanging="1"/>
        <w:jc w:val="both"/>
      </w:pPr>
      <w:r>
        <w:rPr/>
        <w:t>La corrección por deterioro se aplicará siempre que exista evidencia objetiva de que el valor en libros de una inversión no será recuperable. Se entiende por valor recuperable, el mayor importe entre su valor razonable menos los costes de venta y el valor actual de los flujos de efectivo futuros derivados de la inversión, calculados bien mediante la estimación de los que se espera recibir como consecuencia del reparto de dividendos realizados por la Fundación participada y de la enajenación o baja en cuentas de la inversión misma, bien mediante la estimación de su participación en los flujos de efectivo que se espera que sean generados por la Fundación participada. Salvo mejor evidencia del importe recuperable, se tomará en consideración el patrimonio neto de la Fundación participada corregido por las plusvalías tácitas existentes en la fecha de la valoración.</w:t>
      </w:r>
    </w:p>
    <w:p>
      <w:pPr>
        <w:pStyle w:val="BodyText"/>
        <w:spacing w:before="5"/>
        <w:rPr>
          <w:sz w:val="16"/>
        </w:rPr>
      </w:pPr>
    </w:p>
    <w:p>
      <w:pPr>
        <w:pStyle w:val="BodyText"/>
        <w:spacing w:line="276" w:lineRule="auto" w:before="1"/>
        <w:ind w:left="121" w:right="1031"/>
        <w:jc w:val="both"/>
      </w:pPr>
      <w:r>
        <w:rPr/>
        <w:t>Los pasivos financieros y los instrumentos de patrimonio se clasifican conforme al contenido de los acuerdos contractuales pactados y teniendo en cuenta el fondo económico. Un instrumento de patrimonio es un contrato que representa una participación residual en el patrimonio del grupo una vez deducidos todos sus pasivos.</w:t>
      </w:r>
    </w:p>
    <w:p>
      <w:pPr>
        <w:pStyle w:val="BodyText"/>
        <w:spacing w:before="2"/>
        <w:rPr>
          <w:sz w:val="16"/>
        </w:rPr>
      </w:pPr>
    </w:p>
    <w:p>
      <w:pPr>
        <w:pStyle w:val="ListParagraph"/>
        <w:numPr>
          <w:ilvl w:val="2"/>
          <w:numId w:val="8"/>
        </w:numPr>
        <w:tabs>
          <w:tab w:pos="597" w:val="left" w:leader="none"/>
        </w:tabs>
        <w:spacing w:line="240" w:lineRule="auto" w:before="0" w:after="0"/>
        <w:ind w:left="596" w:right="0" w:hanging="476"/>
        <w:jc w:val="left"/>
        <w:rPr>
          <w:sz w:val="19"/>
        </w:rPr>
      </w:pPr>
      <w:r>
        <w:rPr>
          <w:sz w:val="19"/>
        </w:rPr>
        <w:t>Fianzas entregadas y</w:t>
      </w:r>
      <w:r>
        <w:rPr>
          <w:spacing w:val="-1"/>
          <w:sz w:val="19"/>
        </w:rPr>
        <w:t> </w:t>
      </w:r>
      <w:r>
        <w:rPr>
          <w:sz w:val="19"/>
        </w:rPr>
        <w:t>recibidas</w:t>
      </w:r>
    </w:p>
    <w:p>
      <w:pPr>
        <w:pStyle w:val="BodyText"/>
        <w:spacing w:before="4"/>
      </w:pPr>
    </w:p>
    <w:p>
      <w:pPr>
        <w:pStyle w:val="BodyText"/>
        <w:spacing w:line="273" w:lineRule="auto"/>
        <w:ind w:left="121" w:right="1030" w:hanging="1"/>
        <w:jc w:val="both"/>
      </w:pPr>
      <w:r>
        <w:rPr/>
        <w:t>Los depósitos o fianzas constituidas en garantía de determinadas obligaciones se valoran por el importe efectivamente satisfecho, que no difiere significativamente de su valor razonable.</w:t>
      </w:r>
    </w:p>
    <w:p>
      <w:pPr>
        <w:pStyle w:val="BodyText"/>
        <w:spacing w:before="10"/>
        <w:rPr>
          <w:sz w:val="16"/>
        </w:rPr>
      </w:pPr>
    </w:p>
    <w:p>
      <w:pPr>
        <w:pStyle w:val="BodyText"/>
        <w:spacing w:line="276" w:lineRule="auto" w:before="1"/>
        <w:ind w:left="121" w:right="1031"/>
        <w:jc w:val="both"/>
      </w:pPr>
      <w:r>
        <w:rPr/>
        <w:t>En las fianzas entregadas o recibidas por arrendamientos operativos o por prestación de servicios, la diferencia entre su valor razonable y el importe desembolsado se considera como un pago o cobro anticipado por el arrendamiento o prestación del servicio, que se imputa a la cuenta de pérdidas y ganancias durante el periodo del arrendamiento o durante el periodo en el que se presta el servicio, de acuerdo con la norma sobre ingresos por ventas y prestación de</w:t>
      </w:r>
      <w:r>
        <w:rPr>
          <w:spacing w:val="-8"/>
        </w:rPr>
        <w:t> </w:t>
      </w:r>
      <w:r>
        <w:rPr/>
        <w:t>servicios.</w:t>
      </w:r>
    </w:p>
    <w:p>
      <w:pPr>
        <w:spacing w:after="0" w:line="276" w:lineRule="auto"/>
        <w:jc w:val="both"/>
        <w:sectPr>
          <w:pgSz w:w="11900" w:h="16840"/>
          <w:pgMar w:header="739" w:footer="767" w:top="1600" w:bottom="960" w:left="1580" w:right="660"/>
        </w:sectPr>
      </w:pPr>
    </w:p>
    <w:p>
      <w:pPr>
        <w:pStyle w:val="BodyText"/>
        <w:spacing w:before="2"/>
        <w:rPr>
          <w:sz w:val="18"/>
        </w:rPr>
      </w:pPr>
    </w:p>
    <w:p>
      <w:pPr>
        <w:pStyle w:val="BodyText"/>
        <w:spacing w:line="273" w:lineRule="auto" w:before="61"/>
        <w:ind w:left="121" w:right="1031"/>
        <w:jc w:val="both"/>
      </w:pPr>
      <w:r>
        <w:rPr/>
        <w:t>Al estimar el valor razonable de las fianzas, se toma como periodo remanente el plazo contractual mínimo comprometido durante el cual no se pueda devolver su importe, sin tomar en consideración el comportamiento estadístico de devolución.</w:t>
      </w:r>
    </w:p>
    <w:p>
      <w:pPr>
        <w:pStyle w:val="BodyText"/>
        <w:spacing w:before="10"/>
        <w:rPr>
          <w:sz w:val="16"/>
        </w:rPr>
      </w:pPr>
    </w:p>
    <w:p>
      <w:pPr>
        <w:pStyle w:val="BodyText"/>
        <w:spacing w:line="276" w:lineRule="auto"/>
        <w:ind w:left="121" w:right="1031"/>
        <w:jc w:val="both"/>
      </w:pPr>
      <w:r>
        <w:rPr/>
        <w:t>Cuando la fianza sea a corto plazo, no es necesario realizar el descuento de flujos de efectivo si su efecto no es</w:t>
      </w:r>
      <w:r>
        <w:rPr>
          <w:spacing w:val="-1"/>
        </w:rPr>
        <w:t> </w:t>
      </w:r>
      <w:r>
        <w:rPr/>
        <w:t>significativo.</w:t>
      </w:r>
    </w:p>
    <w:p>
      <w:pPr>
        <w:pStyle w:val="BodyText"/>
        <w:spacing w:before="3"/>
        <w:rPr>
          <w:sz w:val="16"/>
        </w:rPr>
      </w:pPr>
    </w:p>
    <w:p>
      <w:pPr>
        <w:pStyle w:val="ListParagraph"/>
        <w:numPr>
          <w:ilvl w:val="2"/>
          <w:numId w:val="8"/>
        </w:numPr>
        <w:tabs>
          <w:tab w:pos="597" w:val="left" w:leader="none"/>
        </w:tabs>
        <w:spacing w:line="240" w:lineRule="auto" w:before="0" w:after="0"/>
        <w:ind w:left="596" w:right="0" w:hanging="476"/>
        <w:jc w:val="left"/>
        <w:rPr>
          <w:sz w:val="19"/>
        </w:rPr>
      </w:pPr>
      <w:r>
        <w:rPr>
          <w:sz w:val="19"/>
        </w:rPr>
        <w:t>Valor razonable</w:t>
      </w:r>
    </w:p>
    <w:p>
      <w:pPr>
        <w:pStyle w:val="BodyText"/>
        <w:spacing w:before="6"/>
      </w:pPr>
    </w:p>
    <w:p>
      <w:pPr>
        <w:pStyle w:val="BodyText"/>
        <w:spacing w:line="276" w:lineRule="auto" w:before="1"/>
        <w:ind w:left="121" w:right="1030"/>
        <w:jc w:val="both"/>
      </w:pPr>
      <w:r>
        <w:rPr/>
        <w:t>El valor razonable es el precio que se recibe por la venta de un activo o se paga para transferir o cancelar un pasivo mediante una transacción ordenada entre participantes en el mercado en la fecha de valoración. El valor razonable se determina sin practicar ninguna deducción por los costes de transacción en que pudiera incurrirse por causa de enajenación o disposición de otros medios. No tendrá en ningún caso el carácter de valor razonable el que sea resultado de una transacción forzada, urgente o como consecuencia de una situación de liquidación involuntaria.</w:t>
      </w:r>
    </w:p>
    <w:p>
      <w:pPr>
        <w:pStyle w:val="BodyText"/>
        <w:spacing w:before="4"/>
        <w:rPr>
          <w:sz w:val="16"/>
        </w:rPr>
      </w:pPr>
    </w:p>
    <w:p>
      <w:pPr>
        <w:pStyle w:val="BodyText"/>
        <w:spacing w:line="276" w:lineRule="auto"/>
        <w:ind w:left="121" w:right="1031"/>
        <w:jc w:val="both"/>
      </w:pPr>
      <w:r>
        <w:rPr/>
        <w:t>Con carácter general, en la valoración de instrumentos financieros valorados a valor razonable, la Sociedad calcula éste por referencia a un valor fiable de mercado, constituyendo el precio cotizado en un mercado activo la mejor referencia de dicho valor razonable. Para aquellos instrumentos respecto de los cuales no exista un mercado activo, el valor razonable se obtiene, en su caso, mediante la aplicación de modelos y técnicas de valoración.</w:t>
      </w:r>
    </w:p>
    <w:p>
      <w:pPr>
        <w:pStyle w:val="BodyText"/>
        <w:spacing w:before="2"/>
        <w:rPr>
          <w:sz w:val="16"/>
        </w:rPr>
      </w:pPr>
    </w:p>
    <w:p>
      <w:pPr>
        <w:spacing w:line="273" w:lineRule="auto" w:before="1"/>
        <w:ind w:left="121" w:right="1030" w:hanging="1"/>
        <w:jc w:val="both"/>
        <w:rPr>
          <w:sz w:val="22"/>
        </w:rPr>
      </w:pPr>
      <w:r>
        <w:rPr>
          <w:sz w:val="19"/>
        </w:rPr>
        <w:t>Se asume que el valor en libros de los créditos y débitos por operaciones comerciales se </w:t>
      </w:r>
      <w:r>
        <w:rPr>
          <w:sz w:val="22"/>
        </w:rPr>
        <w:t>aproxima a su valor razonable.</w:t>
      </w:r>
    </w:p>
    <w:p>
      <w:pPr>
        <w:pStyle w:val="BodyText"/>
        <w:rPr>
          <w:sz w:val="22"/>
        </w:rPr>
      </w:pPr>
    </w:p>
    <w:p>
      <w:pPr>
        <w:pStyle w:val="BodyText"/>
        <w:rPr>
          <w:sz w:val="22"/>
        </w:rPr>
      </w:pPr>
    </w:p>
    <w:p>
      <w:pPr>
        <w:pStyle w:val="Heading4"/>
        <w:numPr>
          <w:ilvl w:val="0"/>
          <w:numId w:val="4"/>
        </w:numPr>
        <w:tabs>
          <w:tab w:pos="343" w:val="left" w:leader="none"/>
        </w:tabs>
        <w:spacing w:line="240" w:lineRule="auto" w:before="175" w:after="0"/>
        <w:ind w:left="342" w:right="0" w:hanging="222"/>
        <w:jc w:val="left"/>
      </w:pPr>
      <w:r>
        <w:rPr/>
        <w:t>Existencias.</w:t>
      </w:r>
    </w:p>
    <w:p>
      <w:pPr>
        <w:pStyle w:val="BodyText"/>
        <w:spacing w:before="8"/>
        <w:rPr>
          <w:b/>
        </w:rPr>
      </w:pPr>
    </w:p>
    <w:p>
      <w:pPr>
        <w:pStyle w:val="BodyText"/>
        <w:ind w:left="121"/>
        <w:jc w:val="both"/>
      </w:pPr>
      <w:r>
        <w:rPr/>
        <w:t>La Fundación no posee existencias inventariables.</w:t>
      </w:r>
    </w:p>
    <w:p>
      <w:pPr>
        <w:pStyle w:val="BodyText"/>
        <w:spacing w:before="4"/>
      </w:pPr>
    </w:p>
    <w:p>
      <w:pPr>
        <w:pStyle w:val="Heading4"/>
        <w:numPr>
          <w:ilvl w:val="0"/>
          <w:numId w:val="4"/>
        </w:numPr>
        <w:tabs>
          <w:tab w:pos="343" w:val="left" w:leader="none"/>
        </w:tabs>
        <w:spacing w:line="240" w:lineRule="auto" w:before="0" w:after="0"/>
        <w:ind w:left="342" w:right="0" w:hanging="222"/>
        <w:jc w:val="left"/>
      </w:pPr>
      <w:r>
        <w:rPr/>
        <w:t>Transacciones en moneda</w:t>
      </w:r>
      <w:r>
        <w:rPr>
          <w:spacing w:val="-1"/>
        </w:rPr>
        <w:t> </w:t>
      </w:r>
      <w:r>
        <w:rPr/>
        <w:t>extranjera.</w:t>
      </w:r>
    </w:p>
    <w:p>
      <w:pPr>
        <w:pStyle w:val="BodyText"/>
        <w:spacing w:before="11"/>
        <w:rPr>
          <w:b/>
        </w:rPr>
      </w:pPr>
    </w:p>
    <w:p>
      <w:pPr>
        <w:pStyle w:val="BodyText"/>
        <w:spacing w:line="273" w:lineRule="auto"/>
        <w:ind w:left="121" w:right="1030"/>
        <w:jc w:val="both"/>
      </w:pPr>
      <w:r>
        <w:rPr/>
        <w:t>La Fundación no realiza transacciones en moneda extranjera, por lo que no se producen diferencias de cambio.</w:t>
      </w:r>
    </w:p>
    <w:p>
      <w:pPr>
        <w:pStyle w:val="BodyText"/>
        <w:spacing w:before="5"/>
        <w:rPr>
          <w:sz w:val="16"/>
        </w:rPr>
      </w:pPr>
    </w:p>
    <w:p>
      <w:pPr>
        <w:pStyle w:val="Heading4"/>
        <w:numPr>
          <w:ilvl w:val="0"/>
          <w:numId w:val="4"/>
        </w:numPr>
        <w:tabs>
          <w:tab w:pos="456" w:val="left" w:leader="none"/>
        </w:tabs>
        <w:spacing w:line="240" w:lineRule="auto" w:before="1" w:after="0"/>
        <w:ind w:left="455" w:right="0" w:hanging="335"/>
        <w:jc w:val="left"/>
      </w:pPr>
      <w:r>
        <w:rPr/>
        <w:t>Impuesto sobre</w:t>
      </w:r>
      <w:r>
        <w:rPr>
          <w:spacing w:val="-2"/>
        </w:rPr>
        <w:t> </w:t>
      </w:r>
      <w:r>
        <w:rPr/>
        <w:t>beneficios.</w:t>
      </w:r>
    </w:p>
    <w:p>
      <w:pPr>
        <w:pStyle w:val="BodyText"/>
        <w:spacing w:before="10"/>
        <w:rPr>
          <w:b/>
        </w:rPr>
      </w:pPr>
    </w:p>
    <w:p>
      <w:pPr>
        <w:pStyle w:val="BodyText"/>
        <w:ind w:left="121" w:right="1030"/>
        <w:jc w:val="both"/>
      </w:pPr>
      <w:r>
        <w:rPr/>
        <w:t>El gasto por impuesto sobre beneficios del ejercicio, se calcula mediante la suma del impuesto corriente que resulta de la aplicación del tipo de gravamen sobre la base imponible del ejercicio y después de aplicar las deducciones que fiscalmente son admisibles, más la variación de los activos y pasivos por impuesto diferidos.</w:t>
      </w:r>
    </w:p>
    <w:p>
      <w:pPr>
        <w:pStyle w:val="BodyText"/>
        <w:rPr>
          <w:sz w:val="24"/>
        </w:rPr>
      </w:pPr>
    </w:p>
    <w:p>
      <w:pPr>
        <w:pStyle w:val="BodyText"/>
        <w:ind w:left="121" w:right="1030"/>
        <w:jc w:val="both"/>
      </w:pPr>
      <w:r>
        <w:rPr/>
        <w:t>Los activos y pasivos por impuesto diferidos, procedentes de las diferencias temporarias definidas como los importes que se prevén pagaderos o recuperables en el futuro y que derivan de la diferencia entre el valor en libros de los activos y pasivos y su base fiscal, así como las bases imponibles negativas pendientes de compensación y los créditos por deducciones fiscales no aplicadas fiscalmente. Dichos importes se registran aplicando a la diferencia temporaria o crédito que corresponda el tipo de gravamen al a que se espera recuperarlos o liquidarlos.</w:t>
      </w:r>
    </w:p>
    <w:p>
      <w:pPr>
        <w:pStyle w:val="BodyText"/>
        <w:rPr>
          <w:sz w:val="24"/>
        </w:rPr>
      </w:pPr>
    </w:p>
    <w:p>
      <w:pPr>
        <w:pStyle w:val="BodyText"/>
        <w:ind w:left="121" w:right="1031"/>
        <w:jc w:val="both"/>
      </w:pPr>
      <w:r>
        <w:rPr/>
        <w:t>Los activos por impuestos diferidos, identificados con diferencias temporarias solo se reconocen en el caso de que se considere probables que la Fundación vaya a tener en el futuro suficientes ganancias fiscales contra las que poder hacerlos efectivos. Al cierre del ejercicio se revisan los impuestos diferidos registrados (tanto activos como pasivos) con objeto de comprobar que se mantienen vigentes, efectuándose las oportunas correcciones a los mismos de acuerdo con los resultados de los análisis realizados.</w:t>
      </w:r>
    </w:p>
    <w:p>
      <w:pPr>
        <w:spacing w:after="0"/>
        <w:jc w:val="both"/>
        <w:sectPr>
          <w:pgSz w:w="11900" w:h="16840"/>
          <w:pgMar w:header="739" w:footer="767" w:top="1600" w:bottom="960" w:left="1580" w:right="660"/>
        </w:sectPr>
      </w:pPr>
    </w:p>
    <w:p>
      <w:pPr>
        <w:pStyle w:val="BodyText"/>
        <w:spacing w:before="5"/>
        <w:rPr>
          <w:sz w:val="18"/>
        </w:rPr>
      </w:pPr>
    </w:p>
    <w:p>
      <w:pPr>
        <w:pStyle w:val="Heading4"/>
        <w:numPr>
          <w:ilvl w:val="0"/>
          <w:numId w:val="4"/>
        </w:numPr>
        <w:tabs>
          <w:tab w:pos="456" w:val="left" w:leader="none"/>
        </w:tabs>
        <w:spacing w:line="240" w:lineRule="auto" w:before="56" w:after="0"/>
        <w:ind w:left="455" w:right="0" w:hanging="335"/>
        <w:jc w:val="left"/>
      </w:pPr>
      <w:r>
        <w:rPr/>
        <w:t>Ingresos y gastos.</w:t>
      </w:r>
    </w:p>
    <w:p>
      <w:pPr>
        <w:pStyle w:val="BodyText"/>
        <w:spacing w:before="8"/>
        <w:rPr>
          <w:b/>
        </w:rPr>
      </w:pPr>
    </w:p>
    <w:p>
      <w:pPr>
        <w:pStyle w:val="BodyText"/>
        <w:spacing w:line="482" w:lineRule="auto"/>
        <w:ind w:left="121" w:right="1688"/>
      </w:pPr>
      <w:r>
        <w:rPr/>
        <w:t>Las ayudas otorgadas por la Fundación se reconocen en el momento en que se apruebe su concesión. Las cuotas de usuarios o afiliados se reconocen como ingresos en el periodo al que corresponden.</w:t>
      </w:r>
    </w:p>
    <w:p>
      <w:pPr>
        <w:pStyle w:val="BodyText"/>
        <w:spacing w:line="273" w:lineRule="auto" w:before="4"/>
        <w:ind w:left="121" w:right="1031" w:hanging="1"/>
      </w:pPr>
      <w:r>
        <w:rPr/>
        <w:t>Los ingresos procedentes de promociones para captación de recursos, de patrocinadores y de colaboraciones se reconocen cuando las campañas y actos se producen.</w:t>
      </w:r>
    </w:p>
    <w:p>
      <w:pPr>
        <w:pStyle w:val="BodyText"/>
        <w:spacing w:before="7"/>
        <w:rPr>
          <w:sz w:val="16"/>
        </w:rPr>
      </w:pPr>
    </w:p>
    <w:p>
      <w:pPr>
        <w:pStyle w:val="BodyText"/>
        <w:spacing w:line="276" w:lineRule="auto"/>
        <w:ind w:left="121" w:right="1031"/>
        <w:jc w:val="both"/>
      </w:pPr>
      <w:r>
        <w:rPr/>
        <w:t>La Fundación reconoce los ingresos por el desarrollo ordinario de su actividad cuando se produce la transferencia del control de los bienes o servicios comprometidos con los clientes. En ese momento, la Fundación valorará el ingreso por el importe que refleja la contraprestación a la que espera tener derecho a cambio de dichos bienes o servicios.</w:t>
      </w:r>
    </w:p>
    <w:p>
      <w:pPr>
        <w:pStyle w:val="BodyText"/>
        <w:spacing w:before="5"/>
        <w:rPr>
          <w:sz w:val="16"/>
        </w:rPr>
      </w:pPr>
    </w:p>
    <w:p>
      <w:pPr>
        <w:pStyle w:val="BodyText"/>
        <w:spacing w:line="273" w:lineRule="auto"/>
        <w:ind w:left="121" w:right="1031"/>
        <w:jc w:val="both"/>
      </w:pPr>
      <w:r>
        <w:rPr/>
        <w:t>No se reconocen ingresos en las permutas de elementos homogéneos como las permutas de productos terminados, o mercaderías intercambiables entre dos empresas con el objetivo de ser más eficaces en su labor comercial de entregar el producto a sus respectivos</w:t>
      </w:r>
      <w:r>
        <w:rPr>
          <w:spacing w:val="-3"/>
        </w:rPr>
        <w:t> </w:t>
      </w:r>
      <w:r>
        <w:rPr/>
        <w:t>clientes.</w:t>
      </w:r>
    </w:p>
    <w:p>
      <w:pPr>
        <w:pStyle w:val="BodyText"/>
        <w:spacing w:before="10"/>
        <w:rPr>
          <w:sz w:val="16"/>
        </w:rPr>
      </w:pPr>
    </w:p>
    <w:p>
      <w:pPr>
        <w:pStyle w:val="Heading5"/>
      </w:pPr>
      <w:r>
        <w:rPr/>
        <w:t>Reconocimiento.</w:t>
      </w:r>
    </w:p>
    <w:p>
      <w:pPr>
        <w:pStyle w:val="BodyText"/>
        <w:spacing w:before="4"/>
        <w:rPr>
          <w:b/>
        </w:rPr>
      </w:pPr>
    </w:p>
    <w:p>
      <w:pPr>
        <w:pStyle w:val="BodyText"/>
        <w:spacing w:line="276" w:lineRule="auto"/>
        <w:ind w:left="121" w:right="1031"/>
        <w:jc w:val="both"/>
      </w:pPr>
      <w:r>
        <w:rPr/>
        <w:t>La Fundación reconoce los ingresos derivados de un contrato cuando (o a medida que) se produce la transferencia al cliente del control sobre los bienes o servicios comprometidos (es decir, la o las obligaciones a cumplir).</w:t>
      </w:r>
    </w:p>
    <w:p>
      <w:pPr>
        <w:pStyle w:val="BodyText"/>
        <w:spacing w:before="6"/>
        <w:rPr>
          <w:sz w:val="16"/>
        </w:rPr>
      </w:pPr>
    </w:p>
    <w:p>
      <w:pPr>
        <w:pStyle w:val="BodyText"/>
        <w:spacing w:line="273" w:lineRule="auto"/>
        <w:ind w:left="121" w:right="1030" w:hanging="1"/>
        <w:jc w:val="both"/>
      </w:pPr>
      <w:r>
        <w:rPr/>
        <w:t>El control de un bien o servicio (un activo) hace referencia a la capacidad para decidir plenamente sobre el uso de ese elemento patrimonial y obtener sustancialmente todos sus beneficios restantes. El control incluye la capacidad de impedir que otras Fundaciones decidan sobre el uso del activo y obtengan sus</w:t>
      </w:r>
      <w:r>
        <w:rPr>
          <w:spacing w:val="-28"/>
        </w:rPr>
        <w:t> </w:t>
      </w:r>
      <w:r>
        <w:rPr/>
        <w:t>beneficios.</w:t>
      </w:r>
    </w:p>
    <w:p>
      <w:pPr>
        <w:pStyle w:val="BodyText"/>
        <w:rPr>
          <w:sz w:val="17"/>
        </w:rPr>
      </w:pPr>
    </w:p>
    <w:p>
      <w:pPr>
        <w:pStyle w:val="BodyText"/>
        <w:spacing w:line="273" w:lineRule="auto"/>
        <w:ind w:left="121" w:right="1033"/>
        <w:jc w:val="both"/>
      </w:pPr>
      <w:r>
        <w:rPr/>
        <w:t>Para cada obligación a cumplir (entrega de bienes o prestación de servicios) que se identifica, la Fundación determina al comienzo del contrato si el compromiso asumido se cumplirá a lo largo del tiempo o en un momento determinado.</w:t>
      </w:r>
    </w:p>
    <w:p>
      <w:pPr>
        <w:pStyle w:val="BodyText"/>
        <w:rPr>
          <w:sz w:val="17"/>
        </w:rPr>
      </w:pPr>
    </w:p>
    <w:p>
      <w:pPr>
        <w:pStyle w:val="BodyText"/>
        <w:spacing w:line="276" w:lineRule="auto"/>
        <w:ind w:left="121" w:right="1030" w:hanging="1"/>
        <w:jc w:val="both"/>
      </w:pPr>
      <w:r>
        <w:rPr/>
        <w:t>Los ingresos derivados de los compromisos (con carácter general, de prestaciones de servicios o venta de bienes) que se cumplen a lo largo del tiempo se reconocen en función del grado de avance o progreso hacia el cumplimiento completo de las obligaciones contractuales siempre que la Fundación dispone de información fiable para realizar la medición del grado de avance.</w:t>
      </w:r>
    </w:p>
    <w:p>
      <w:pPr>
        <w:pStyle w:val="BodyText"/>
        <w:spacing w:before="2"/>
        <w:rPr>
          <w:sz w:val="16"/>
        </w:rPr>
      </w:pPr>
    </w:p>
    <w:p>
      <w:pPr>
        <w:pStyle w:val="BodyText"/>
        <w:spacing w:line="276" w:lineRule="auto" w:before="1"/>
        <w:ind w:left="121" w:right="1032" w:hanging="1"/>
        <w:jc w:val="both"/>
      </w:pPr>
      <w:r>
        <w:rPr/>
        <w:t>La Fundación revisa y, si es necesario, modifica las estimaciones del ingreso a reconocer, a medida que cumple con el compromiso asumido. La necesidad de tales revisiones no indica, necesariamente, que el desenlace o resultado de la operación no pueda ser estimado con</w:t>
      </w:r>
      <w:r>
        <w:rPr>
          <w:spacing w:val="-4"/>
        </w:rPr>
        <w:t> </w:t>
      </w:r>
      <w:r>
        <w:rPr/>
        <w:t>fiabilidad.</w:t>
      </w:r>
    </w:p>
    <w:p>
      <w:pPr>
        <w:pStyle w:val="BodyText"/>
        <w:spacing w:before="5"/>
        <w:rPr>
          <w:sz w:val="16"/>
        </w:rPr>
      </w:pPr>
    </w:p>
    <w:p>
      <w:pPr>
        <w:pStyle w:val="BodyText"/>
        <w:spacing w:line="276" w:lineRule="auto"/>
        <w:ind w:left="121" w:right="1031"/>
        <w:jc w:val="both"/>
      </w:pPr>
      <w:r>
        <w:rPr/>
        <w:t>Cuando, a una fecha determinada, la Fundación no es capaz de medir razonablemente el grado de cumplimiento de la obligación (por ejemplo, en las primeras etapas de un contrato), aunque espera recuperar los costes incurridos para satisfacer dicho compromiso, solo se reconocen ingresos y la correspondiente contraprestación en un importe equivalente a los costes incurridos hasta esa fecha.</w:t>
      </w:r>
    </w:p>
    <w:p>
      <w:pPr>
        <w:pStyle w:val="BodyText"/>
        <w:spacing w:before="5"/>
        <w:rPr>
          <w:sz w:val="16"/>
        </w:rPr>
      </w:pPr>
    </w:p>
    <w:p>
      <w:pPr>
        <w:pStyle w:val="BodyText"/>
        <w:spacing w:line="273" w:lineRule="auto"/>
        <w:ind w:left="121" w:right="1030"/>
        <w:jc w:val="both"/>
      </w:pPr>
      <w:r>
        <w:rPr/>
        <w:t>En el caso de las obligaciones contractuales que se cumplen en un momento determinado, los ingresos derivados de su ejecución se reconocen en tal fecha. Hasta que no se produzca esta circunstancia, los costes incurridos en la producción o fabricación del producto (bienes o servicios) se contabilizan como existencias.</w:t>
      </w:r>
    </w:p>
    <w:p>
      <w:pPr>
        <w:pStyle w:val="BodyText"/>
        <w:rPr>
          <w:sz w:val="17"/>
        </w:rPr>
      </w:pPr>
    </w:p>
    <w:p>
      <w:pPr>
        <w:pStyle w:val="BodyText"/>
        <w:spacing w:line="273" w:lineRule="auto"/>
        <w:ind w:left="121" w:right="1029"/>
        <w:jc w:val="both"/>
      </w:pPr>
      <w:r>
        <w:rPr/>
        <w:t>Cuando existan dudas relativas al cobro del derecho de crédito previamente reconocido como ingresos por venta o prestación de servicios, la pérdida por deterioro se registrará como un gasto por corrección de valor por deterioro y no como un menor ingreso.</w:t>
      </w:r>
    </w:p>
    <w:p>
      <w:pPr>
        <w:spacing w:after="0" w:line="273" w:lineRule="auto"/>
        <w:jc w:val="both"/>
        <w:sectPr>
          <w:pgSz w:w="11900" w:h="16840"/>
          <w:pgMar w:header="739" w:footer="767" w:top="1600" w:bottom="960" w:left="1580" w:right="660"/>
        </w:sectPr>
      </w:pPr>
    </w:p>
    <w:p>
      <w:pPr>
        <w:pStyle w:val="BodyText"/>
        <w:spacing w:before="11"/>
        <w:rPr>
          <w:sz w:val="17"/>
        </w:rPr>
      </w:pPr>
    </w:p>
    <w:p>
      <w:pPr>
        <w:pStyle w:val="Heading5"/>
        <w:spacing w:before="62"/>
      </w:pPr>
      <w:r>
        <w:rPr/>
        <w:t>Cumplimiento de la obligación a lo largo del tiempo.</w:t>
      </w:r>
    </w:p>
    <w:p>
      <w:pPr>
        <w:pStyle w:val="BodyText"/>
        <w:spacing w:before="4"/>
        <w:rPr>
          <w:b/>
        </w:rPr>
      </w:pPr>
    </w:p>
    <w:p>
      <w:pPr>
        <w:pStyle w:val="BodyText"/>
        <w:spacing w:line="273" w:lineRule="auto"/>
        <w:ind w:left="121" w:right="1031"/>
        <w:jc w:val="both"/>
      </w:pPr>
      <w:r>
        <w:rPr/>
        <w:t>Se entiende que la Fundación transfiere el control de un activo (con carácter general, de un servicio o producto) a lo largo del tiempo cuando se cumple uno de los siguientes criterios:</w:t>
      </w:r>
    </w:p>
    <w:p>
      <w:pPr>
        <w:pStyle w:val="BodyText"/>
        <w:spacing w:before="10"/>
        <w:rPr>
          <w:sz w:val="16"/>
        </w:rPr>
      </w:pPr>
    </w:p>
    <w:p>
      <w:pPr>
        <w:pStyle w:val="ListParagraph"/>
        <w:numPr>
          <w:ilvl w:val="0"/>
          <w:numId w:val="9"/>
        </w:numPr>
        <w:tabs>
          <w:tab w:pos="350" w:val="left" w:leader="none"/>
        </w:tabs>
        <w:spacing w:line="276" w:lineRule="auto" w:before="0" w:after="0"/>
        <w:ind w:left="121" w:right="1031" w:hanging="1"/>
        <w:jc w:val="both"/>
        <w:rPr>
          <w:sz w:val="19"/>
        </w:rPr>
      </w:pPr>
      <w:r>
        <w:rPr>
          <w:sz w:val="19"/>
        </w:rPr>
        <w:t>El cliente recibe y consume de forma simultánea los beneficios proporcionados por la actividad de la Fundación (generalmente, la prestación de un servicio) a medida que la Fundación la desarrolla, como sucede en algunos servicios recurrentes (seguridad o limpieza). En tal caso, si otra empresa asumiera el contrato no necesitaría realizar nuevamente de forma sustancial el trabajo completado hasta la</w:t>
      </w:r>
      <w:r>
        <w:rPr>
          <w:spacing w:val="-7"/>
          <w:sz w:val="19"/>
        </w:rPr>
        <w:t> </w:t>
      </w:r>
      <w:r>
        <w:rPr>
          <w:sz w:val="19"/>
        </w:rPr>
        <w:t>fecha.</w:t>
      </w:r>
    </w:p>
    <w:p>
      <w:pPr>
        <w:pStyle w:val="BodyText"/>
        <w:spacing w:before="5"/>
        <w:rPr>
          <w:sz w:val="16"/>
        </w:rPr>
      </w:pPr>
    </w:p>
    <w:p>
      <w:pPr>
        <w:pStyle w:val="ListParagraph"/>
        <w:numPr>
          <w:ilvl w:val="0"/>
          <w:numId w:val="9"/>
        </w:numPr>
        <w:tabs>
          <w:tab w:pos="341" w:val="left" w:leader="none"/>
        </w:tabs>
        <w:spacing w:line="273" w:lineRule="auto" w:before="0" w:after="0"/>
        <w:ind w:left="121" w:right="1030" w:firstLine="0"/>
        <w:jc w:val="both"/>
        <w:rPr>
          <w:sz w:val="19"/>
        </w:rPr>
      </w:pPr>
      <w:r>
        <w:rPr>
          <w:sz w:val="19"/>
        </w:rPr>
        <w:t>La Fundación produce o mejora un activo (tangible o intangible) que el cliente controla a medida que se desarrolla la actividad (por ejemplo, un servicio de construcción efectuado sobre un terreno del</w:t>
      </w:r>
      <w:r>
        <w:rPr>
          <w:spacing w:val="-22"/>
          <w:sz w:val="19"/>
        </w:rPr>
        <w:t> </w:t>
      </w:r>
      <w:r>
        <w:rPr>
          <w:sz w:val="19"/>
        </w:rPr>
        <w:t>cliente).</w:t>
      </w:r>
    </w:p>
    <w:p>
      <w:pPr>
        <w:pStyle w:val="BodyText"/>
        <w:spacing w:before="8"/>
        <w:rPr>
          <w:sz w:val="16"/>
        </w:rPr>
      </w:pPr>
    </w:p>
    <w:p>
      <w:pPr>
        <w:pStyle w:val="ListParagraph"/>
        <w:numPr>
          <w:ilvl w:val="0"/>
          <w:numId w:val="9"/>
        </w:numPr>
        <w:tabs>
          <w:tab w:pos="305" w:val="left" w:leader="none"/>
        </w:tabs>
        <w:spacing w:line="276" w:lineRule="auto" w:before="0" w:after="0"/>
        <w:ind w:left="121" w:right="1031" w:firstLine="0"/>
        <w:jc w:val="both"/>
        <w:rPr>
          <w:sz w:val="19"/>
        </w:rPr>
      </w:pPr>
      <w:r>
        <w:rPr>
          <w:sz w:val="19"/>
        </w:rPr>
        <w:t>La Fundación elabora un activo específico para el cliente (con carácter general, un servicio o una instalación técnica compleja o un bien particular con especificaciones singulares) sin un uso alternativo y la Fundación tiene un derecho exigible al cobro por la actividad que se haya completado hasta la fecha (por ejemplo, servicios de consultoría que den lugar a una opinión profesional para el</w:t>
      </w:r>
      <w:r>
        <w:rPr>
          <w:spacing w:val="-7"/>
          <w:sz w:val="19"/>
        </w:rPr>
        <w:t> </w:t>
      </w:r>
      <w:r>
        <w:rPr>
          <w:sz w:val="19"/>
        </w:rPr>
        <w:t>cliente).</w:t>
      </w:r>
    </w:p>
    <w:p>
      <w:pPr>
        <w:pStyle w:val="BodyText"/>
        <w:spacing w:before="3"/>
        <w:rPr>
          <w:sz w:val="16"/>
        </w:rPr>
      </w:pPr>
    </w:p>
    <w:p>
      <w:pPr>
        <w:pStyle w:val="Heading5"/>
      </w:pPr>
      <w:r>
        <w:rPr/>
        <w:t>Indicadores de cumplimiento de la obligación en un momento del tiempo.</w:t>
      </w:r>
    </w:p>
    <w:p>
      <w:pPr>
        <w:pStyle w:val="BodyText"/>
        <w:spacing w:before="6"/>
        <w:rPr>
          <w:b/>
        </w:rPr>
      </w:pPr>
    </w:p>
    <w:p>
      <w:pPr>
        <w:pStyle w:val="BodyText"/>
        <w:spacing w:line="273" w:lineRule="auto"/>
        <w:ind w:left="121" w:right="1032"/>
        <w:jc w:val="both"/>
      </w:pPr>
      <w:r>
        <w:rPr/>
        <w:t>Para identificar el momento concreto en que el cliente obtiene el control del activo (con carácter general, un bien), la Fundación considera, entre otros, los siguientes indicadores:</w:t>
      </w:r>
    </w:p>
    <w:p>
      <w:pPr>
        <w:pStyle w:val="BodyText"/>
        <w:spacing w:before="8"/>
        <w:rPr>
          <w:sz w:val="16"/>
        </w:rPr>
      </w:pPr>
    </w:p>
    <w:p>
      <w:pPr>
        <w:pStyle w:val="ListParagraph"/>
        <w:numPr>
          <w:ilvl w:val="0"/>
          <w:numId w:val="10"/>
        </w:numPr>
        <w:tabs>
          <w:tab w:pos="324" w:val="left" w:leader="none"/>
        </w:tabs>
        <w:spacing w:line="276" w:lineRule="auto" w:before="0" w:after="0"/>
        <w:ind w:left="121" w:right="1029" w:firstLine="0"/>
        <w:jc w:val="both"/>
        <w:rPr>
          <w:sz w:val="19"/>
        </w:rPr>
      </w:pPr>
      <w:r>
        <w:rPr>
          <w:sz w:val="19"/>
        </w:rPr>
        <w:t>El cliente asume los riesgos y beneficios significativos inherentes a la propiedad del activo. Al evaluar este punto, la Fundación excluye cualquier riesgo que dé lugar a una obligación separada, distinta del compromiso de transferir el activo. Por ejemplo, la Fundación puede haber transferido el control del activo, pero no haber satisfecho la obligación de proporcionar servicios de mantenimiento durante la vida útil del</w:t>
      </w:r>
      <w:r>
        <w:rPr>
          <w:spacing w:val="-17"/>
          <w:sz w:val="19"/>
        </w:rPr>
        <w:t> </w:t>
      </w:r>
      <w:r>
        <w:rPr>
          <w:sz w:val="19"/>
        </w:rPr>
        <w:t>activo.</w:t>
      </w:r>
    </w:p>
    <w:p>
      <w:pPr>
        <w:pStyle w:val="BodyText"/>
        <w:spacing w:before="5"/>
        <w:rPr>
          <w:sz w:val="16"/>
        </w:rPr>
      </w:pPr>
    </w:p>
    <w:p>
      <w:pPr>
        <w:pStyle w:val="ListParagraph"/>
        <w:numPr>
          <w:ilvl w:val="0"/>
          <w:numId w:val="10"/>
        </w:numPr>
        <w:tabs>
          <w:tab w:pos="331" w:val="left" w:leader="none"/>
        </w:tabs>
        <w:spacing w:line="276" w:lineRule="auto" w:before="0" w:after="0"/>
        <w:ind w:left="121" w:right="1029" w:firstLine="0"/>
        <w:jc w:val="both"/>
        <w:rPr>
          <w:sz w:val="19"/>
        </w:rPr>
      </w:pPr>
      <w:r>
        <w:rPr>
          <w:sz w:val="19"/>
        </w:rPr>
        <w:t>La Fundación ha transferido la posesión física del activo. Sin embargo, la posesión física puede no coincidir con el control de un activo. Así, por ejemplo, en algunos acuerdos de recompra y en algunos acuerdos de depósito, un cliente o consignatario puede tener la posesión física de un activo que controla la Fundación cedente de dicho activo y, por tanto, el mismo no puede considerarse transferido. Por el contrario, en acuerdos de entrega posterior a la facturación, la Fundación puede tener la posesión física de un activo que controla el cliente.</w:t>
      </w:r>
    </w:p>
    <w:p>
      <w:pPr>
        <w:pStyle w:val="BodyText"/>
        <w:spacing w:before="4"/>
        <w:rPr>
          <w:sz w:val="16"/>
        </w:rPr>
      </w:pPr>
    </w:p>
    <w:p>
      <w:pPr>
        <w:pStyle w:val="ListParagraph"/>
        <w:numPr>
          <w:ilvl w:val="0"/>
          <w:numId w:val="10"/>
        </w:numPr>
        <w:tabs>
          <w:tab w:pos="307" w:val="left" w:leader="none"/>
        </w:tabs>
        <w:spacing w:line="276" w:lineRule="auto" w:before="0" w:after="0"/>
        <w:ind w:left="121" w:right="1030" w:firstLine="0"/>
        <w:jc w:val="both"/>
        <w:rPr>
          <w:sz w:val="19"/>
        </w:rPr>
      </w:pPr>
      <w:r>
        <w:rPr>
          <w:sz w:val="19"/>
        </w:rPr>
        <w:t>El cliente ha recibido (aceptado) el activo a conformidad de acuerdo con las especificaciones contractuales. Si una empresa puede determinar de forma objetiva que se ha transferido el control del bien o servicio al cliente de acuerdo con las especificaciones acordadas, la aceptación de este último es una formalidad que no afectaría a la determinación sobre la transferencia del control. Por ejemplo, si la cláusula de aceptación se basa en el cumplimiento de características de tamaño o peso especificadas, la Fundación podría determinar si esos criterios se han cumplido antes de recibir confirmación de la aceptación del</w:t>
      </w:r>
      <w:r>
        <w:rPr>
          <w:spacing w:val="-11"/>
          <w:sz w:val="19"/>
        </w:rPr>
        <w:t> </w:t>
      </w:r>
      <w:r>
        <w:rPr>
          <w:sz w:val="19"/>
        </w:rPr>
        <w:t>cliente.</w:t>
      </w:r>
    </w:p>
    <w:p>
      <w:pPr>
        <w:pStyle w:val="BodyText"/>
        <w:spacing w:before="5"/>
        <w:rPr>
          <w:sz w:val="16"/>
        </w:rPr>
      </w:pPr>
    </w:p>
    <w:p>
      <w:pPr>
        <w:pStyle w:val="BodyText"/>
        <w:spacing w:line="276" w:lineRule="auto"/>
        <w:ind w:left="121" w:right="1030"/>
        <w:jc w:val="both"/>
      </w:pPr>
      <w:r>
        <w:rPr/>
        <w:t>Sin embargo, si la Fundación no puede determinar de forma objetiva que el bien o servicio proporcionado al cliente reúne las especificaciones acordadas en el contrato no podrá concluir que el cliente ha obtenido el control hasta que reciba la aceptación del cliente.</w:t>
      </w:r>
    </w:p>
    <w:p>
      <w:pPr>
        <w:pStyle w:val="BodyText"/>
        <w:spacing w:before="5"/>
        <w:rPr>
          <w:sz w:val="16"/>
        </w:rPr>
      </w:pPr>
    </w:p>
    <w:p>
      <w:pPr>
        <w:pStyle w:val="BodyText"/>
        <w:spacing w:line="276" w:lineRule="auto"/>
        <w:ind w:left="121" w:right="1030"/>
        <w:jc w:val="both"/>
      </w:pPr>
      <w:r>
        <w:rPr/>
        <w:t>Cuando se entregan productos (bienes o servicios) a un cliente en régimen de prueba o evaluación y este no se ha comprometido a pagar la contraprestación hasta que venza el periodo de prueba, el control del producto no se ha transferido al cliente hasta que este lo acepta o venza el citado plazo sin haber comunicado su disconformidad.</w:t>
      </w:r>
    </w:p>
    <w:p>
      <w:pPr>
        <w:pStyle w:val="BodyText"/>
        <w:spacing w:before="3"/>
        <w:rPr>
          <w:sz w:val="16"/>
        </w:rPr>
      </w:pPr>
    </w:p>
    <w:p>
      <w:pPr>
        <w:pStyle w:val="Heading5"/>
      </w:pPr>
      <w:r>
        <w:rPr/>
        <w:t>Valoración.</w:t>
      </w:r>
    </w:p>
    <w:p>
      <w:pPr>
        <w:spacing w:after="0"/>
        <w:sectPr>
          <w:pgSz w:w="11900" w:h="16840"/>
          <w:pgMar w:header="739" w:footer="767" w:top="1600" w:bottom="960" w:left="1580" w:right="660"/>
        </w:sectPr>
      </w:pPr>
    </w:p>
    <w:p>
      <w:pPr>
        <w:pStyle w:val="BodyText"/>
        <w:spacing w:before="2"/>
        <w:rPr>
          <w:b/>
          <w:sz w:val="18"/>
        </w:rPr>
      </w:pPr>
    </w:p>
    <w:p>
      <w:pPr>
        <w:pStyle w:val="BodyText"/>
        <w:spacing w:line="276" w:lineRule="auto" w:before="61"/>
        <w:ind w:left="121" w:right="1030" w:hanging="1"/>
        <w:jc w:val="both"/>
      </w:pPr>
      <w:r>
        <w:rPr/>
        <w:t>Los ingresos ordinarios procedentes de la venta de bienes y de la prestación de servicios se valoran por el importe monetario o, en su caso, por el valor razonable de la contrapartida, recibida o que se espere recibir, derivada de la misma, que, salvo evidencia en contrario, es el precio acordado para los activos a trasferir al cliente, deducido: el importe de cualquier descuento, rebaja en el precio u otras partidas similares que la Fundación pueda conceder, así como los intereses incorporados al nominal de los créditos. No obstante, podrán incluirse los intereses incorporados a los créditos comerciales con vencimiento no superior a un año que no tengan un tipo de interés contractual, cuando el efecto de no actualizar los flujos de efectivo no es significativo.</w:t>
      </w:r>
    </w:p>
    <w:p>
      <w:pPr>
        <w:pStyle w:val="BodyText"/>
        <w:spacing w:before="4"/>
        <w:rPr>
          <w:sz w:val="16"/>
        </w:rPr>
      </w:pPr>
    </w:p>
    <w:p>
      <w:pPr>
        <w:pStyle w:val="BodyText"/>
        <w:spacing w:line="273" w:lineRule="auto"/>
        <w:ind w:left="121" w:right="1031"/>
        <w:jc w:val="both"/>
      </w:pPr>
      <w:r>
        <w:rPr/>
        <w:t>No forman parte de los ingresos los impuestos que gravan las operaciones de entrega de bienes y prestación de servicios que la Fundación debe repercutir a terceros como el impuesto sobre el valor añadido y los impuestos especiales, así como las cantidades recibidas por cuenta de terceros.</w:t>
      </w:r>
    </w:p>
    <w:p>
      <w:pPr>
        <w:pStyle w:val="BodyText"/>
        <w:rPr>
          <w:sz w:val="17"/>
        </w:rPr>
      </w:pPr>
    </w:p>
    <w:p>
      <w:pPr>
        <w:pStyle w:val="BodyText"/>
        <w:spacing w:line="273" w:lineRule="auto"/>
        <w:ind w:left="121" w:right="1030" w:hanging="1"/>
        <w:jc w:val="both"/>
      </w:pPr>
      <w:r>
        <w:rPr/>
        <w:t>La Fundación toma en cuenta en la valoración del ingreso la mejor estimación de la contraprestación variable si es altamente probable que no se produzca una reversión significativa del importe del ingreso reconocido cuando posteriormente se resuelva la incertidumbre asociada a la citada contraprestación.</w:t>
      </w:r>
    </w:p>
    <w:p>
      <w:pPr>
        <w:pStyle w:val="BodyText"/>
        <w:rPr>
          <w:sz w:val="17"/>
        </w:rPr>
      </w:pPr>
    </w:p>
    <w:p>
      <w:pPr>
        <w:pStyle w:val="BodyText"/>
        <w:spacing w:line="273" w:lineRule="auto"/>
        <w:ind w:left="121" w:right="1028"/>
        <w:jc w:val="both"/>
      </w:pPr>
      <w:r>
        <w:rPr/>
        <w:t>Por excepción a la regla general, la contraprestación variable relacionada con los acuerdos de cesión de licencias, en forma de participación en las ventas o en el uso de esos activos, solo se reconocen cuando (o a medida que) ocurra el que sea posterior de los siguientes sucesos:</w:t>
      </w:r>
    </w:p>
    <w:p>
      <w:pPr>
        <w:pStyle w:val="BodyText"/>
        <w:spacing w:before="7"/>
        <w:rPr>
          <w:sz w:val="16"/>
        </w:rPr>
      </w:pPr>
    </w:p>
    <w:p>
      <w:pPr>
        <w:pStyle w:val="ListParagraph"/>
        <w:numPr>
          <w:ilvl w:val="0"/>
          <w:numId w:val="11"/>
        </w:numPr>
        <w:tabs>
          <w:tab w:pos="314" w:val="left" w:leader="none"/>
        </w:tabs>
        <w:spacing w:line="240" w:lineRule="auto" w:before="0" w:after="0"/>
        <w:ind w:left="313" w:right="0" w:hanging="193"/>
        <w:jc w:val="left"/>
        <w:rPr>
          <w:sz w:val="19"/>
        </w:rPr>
      </w:pPr>
      <w:r>
        <w:rPr>
          <w:sz w:val="19"/>
        </w:rPr>
        <w:t>Tiene lugar la venta o el uso posterior;</w:t>
      </w:r>
      <w:r>
        <w:rPr>
          <w:spacing w:val="-5"/>
          <w:sz w:val="19"/>
        </w:rPr>
        <w:t> </w:t>
      </w:r>
      <w:r>
        <w:rPr>
          <w:sz w:val="19"/>
        </w:rPr>
        <w:t>o</w:t>
      </w:r>
    </w:p>
    <w:p>
      <w:pPr>
        <w:pStyle w:val="BodyText"/>
        <w:spacing w:before="7"/>
      </w:pPr>
    </w:p>
    <w:p>
      <w:pPr>
        <w:pStyle w:val="ListParagraph"/>
        <w:numPr>
          <w:ilvl w:val="0"/>
          <w:numId w:val="11"/>
        </w:numPr>
        <w:tabs>
          <w:tab w:pos="348" w:val="left" w:leader="none"/>
        </w:tabs>
        <w:spacing w:line="273" w:lineRule="auto" w:before="0" w:after="0"/>
        <w:ind w:left="121" w:right="1031" w:firstLine="0"/>
        <w:jc w:val="left"/>
        <w:rPr>
          <w:sz w:val="19"/>
        </w:rPr>
      </w:pPr>
      <w:r>
        <w:rPr>
          <w:sz w:val="19"/>
        </w:rPr>
        <w:t>La obligación que asume la Fundación en virtud del contrato y a la que se ha asignado parte o toda la contraprestación variable es satisfecha (o parcialmente</w:t>
      </w:r>
      <w:r>
        <w:rPr>
          <w:spacing w:val="-2"/>
          <w:sz w:val="19"/>
        </w:rPr>
        <w:t> </w:t>
      </w:r>
      <w:r>
        <w:rPr>
          <w:sz w:val="19"/>
        </w:rPr>
        <w:t>satisfecha).</w:t>
      </w:r>
    </w:p>
    <w:p>
      <w:pPr>
        <w:pStyle w:val="BodyText"/>
        <w:rPr>
          <w:sz w:val="18"/>
        </w:rPr>
      </w:pPr>
    </w:p>
    <w:p>
      <w:pPr>
        <w:pStyle w:val="BodyText"/>
        <w:spacing w:before="6"/>
        <w:rPr>
          <w:sz w:val="17"/>
        </w:rPr>
      </w:pPr>
    </w:p>
    <w:p>
      <w:pPr>
        <w:pStyle w:val="Heading4"/>
        <w:numPr>
          <w:ilvl w:val="0"/>
          <w:numId w:val="4"/>
        </w:numPr>
        <w:tabs>
          <w:tab w:pos="456" w:val="left" w:leader="none"/>
        </w:tabs>
        <w:spacing w:line="240" w:lineRule="auto" w:before="0" w:after="0"/>
        <w:ind w:left="455" w:right="0" w:hanging="335"/>
        <w:jc w:val="left"/>
      </w:pPr>
      <w:r>
        <w:rPr/>
        <w:t>Provisiones y</w:t>
      </w:r>
      <w:r>
        <w:rPr>
          <w:spacing w:val="-3"/>
        </w:rPr>
        <w:t> </w:t>
      </w:r>
      <w:r>
        <w:rPr/>
        <w:t>contingencias.</w:t>
      </w:r>
    </w:p>
    <w:p>
      <w:pPr>
        <w:pStyle w:val="BodyText"/>
        <w:spacing w:before="11"/>
        <w:rPr>
          <w:b/>
        </w:rPr>
      </w:pPr>
    </w:p>
    <w:p>
      <w:pPr>
        <w:pStyle w:val="BodyText"/>
        <w:spacing w:line="276" w:lineRule="auto"/>
        <w:ind w:left="121" w:right="1031"/>
        <w:jc w:val="both"/>
      </w:pPr>
      <w:r>
        <w:rPr/>
        <w:t>Las provisiones, que se cuatifican teniendo en consideración la mejor información disponible sobre las consecuencias del suceso que las origina y son reestimadas con ocasión de cada cierre contable, se utilizan para afrontar las oblicaciones específicas para las cuales fueron originalmente reconocidas, procediéndose a su reversión, total o parcial, cuando dichas obligaciones dejan de existir o disminuyen.</w:t>
      </w:r>
    </w:p>
    <w:p>
      <w:pPr>
        <w:pStyle w:val="BodyText"/>
        <w:spacing w:before="3"/>
        <w:rPr>
          <w:sz w:val="16"/>
        </w:rPr>
      </w:pPr>
    </w:p>
    <w:p>
      <w:pPr>
        <w:pStyle w:val="Heading4"/>
        <w:numPr>
          <w:ilvl w:val="0"/>
          <w:numId w:val="4"/>
        </w:numPr>
        <w:tabs>
          <w:tab w:pos="456" w:val="left" w:leader="none"/>
        </w:tabs>
        <w:spacing w:line="240" w:lineRule="auto" w:before="0" w:after="0"/>
        <w:ind w:left="455" w:right="0" w:hanging="335"/>
        <w:jc w:val="left"/>
      </w:pPr>
      <w:r>
        <w:rPr/>
        <w:t>Valoración de los gastos de</w:t>
      </w:r>
      <w:r>
        <w:rPr>
          <w:spacing w:val="-4"/>
        </w:rPr>
        <w:t> </w:t>
      </w:r>
      <w:r>
        <w:rPr/>
        <w:t>personal.</w:t>
      </w:r>
    </w:p>
    <w:p>
      <w:pPr>
        <w:pStyle w:val="BodyText"/>
        <w:spacing w:before="10"/>
        <w:rPr>
          <w:b/>
        </w:rPr>
      </w:pPr>
    </w:p>
    <w:p>
      <w:pPr>
        <w:pStyle w:val="BodyText"/>
        <w:spacing w:line="276" w:lineRule="auto"/>
        <w:ind w:left="121" w:right="1031" w:hanging="1"/>
        <w:jc w:val="both"/>
      </w:pPr>
      <w:r>
        <w:rPr/>
        <w:t>Los gastos de personal corresponden a servicios prestados por empleados, a los que se ha satisfecho la remuneración correspondiente después de detraer las retenciones y cotizaciones sociales legalmente establecidas. No existiendo por tanto retribuciones a largo plazo como pensiones, prestaciones por jubilación o retiro, o compensaciones económicas con carácter diferido.</w:t>
      </w:r>
    </w:p>
    <w:p>
      <w:pPr>
        <w:pStyle w:val="BodyText"/>
        <w:spacing w:before="5"/>
        <w:rPr>
          <w:sz w:val="16"/>
        </w:rPr>
      </w:pPr>
    </w:p>
    <w:p>
      <w:pPr>
        <w:pStyle w:val="BodyText"/>
        <w:spacing w:line="276" w:lineRule="auto"/>
        <w:ind w:left="121" w:right="1030"/>
        <w:jc w:val="both"/>
      </w:pPr>
      <w:r>
        <w:rPr/>
        <w:t>Ante la ausencia de cualquier necesidad previsible de terminación anormal del empleo y dado que no reciben indemnizaciones aquellos empleados que se jubilan o cesan voluntariamente en sus servicios, los pagos por indemnizaciones, cuando surgen, se cargan a gastos en el momento en que se toma la decisión de efectuar el despido.</w:t>
      </w:r>
    </w:p>
    <w:p>
      <w:pPr>
        <w:pStyle w:val="BodyText"/>
        <w:spacing w:before="3"/>
        <w:rPr>
          <w:sz w:val="16"/>
        </w:rPr>
      </w:pPr>
    </w:p>
    <w:p>
      <w:pPr>
        <w:pStyle w:val="Heading4"/>
        <w:numPr>
          <w:ilvl w:val="0"/>
          <w:numId w:val="4"/>
        </w:numPr>
        <w:tabs>
          <w:tab w:pos="453" w:val="left" w:leader="none"/>
        </w:tabs>
        <w:spacing w:line="240" w:lineRule="auto" w:before="0" w:after="0"/>
        <w:ind w:left="452" w:right="0" w:hanging="332"/>
        <w:jc w:val="left"/>
      </w:pPr>
      <w:r>
        <w:rPr/>
        <w:t>Subvenciones, donaciones y</w:t>
      </w:r>
      <w:r>
        <w:rPr>
          <w:spacing w:val="1"/>
        </w:rPr>
        <w:t> </w:t>
      </w:r>
      <w:r>
        <w:rPr/>
        <w:t>legados.</w:t>
      </w:r>
    </w:p>
    <w:p>
      <w:pPr>
        <w:pStyle w:val="BodyText"/>
        <w:spacing w:before="10"/>
        <w:rPr>
          <w:b/>
        </w:rPr>
      </w:pPr>
    </w:p>
    <w:p>
      <w:pPr>
        <w:pStyle w:val="BodyText"/>
        <w:spacing w:line="276" w:lineRule="auto" w:before="1"/>
        <w:ind w:left="121" w:right="1030"/>
        <w:jc w:val="both"/>
      </w:pPr>
      <w:r>
        <w:rPr/>
        <w:t>Las subvenciones de capital no reintegrables se valoran por el importe concedido, reconociéndose inicialmente como ingresos directamente imputados al patrimonio neto y se imputan a resultados en proporción a la depreciación experimentada durante el período por los activos financiados por dichas subvenciones, salvo que se trate de activos no depreciables en cuyo caso se imputarán al resultado del ejercicio en que se produzca la enajenación o baja de inventario de los mismos.</w:t>
      </w:r>
    </w:p>
    <w:p>
      <w:pPr>
        <w:spacing w:after="0" w:line="276" w:lineRule="auto"/>
        <w:jc w:val="both"/>
        <w:sectPr>
          <w:pgSz w:w="11900" w:h="16840"/>
          <w:pgMar w:header="739" w:footer="767" w:top="1600" w:bottom="960" w:left="1580" w:right="660"/>
        </w:sectPr>
      </w:pPr>
    </w:p>
    <w:p>
      <w:pPr>
        <w:pStyle w:val="BodyText"/>
        <w:spacing w:before="5"/>
        <w:rPr>
          <w:sz w:val="18"/>
        </w:rPr>
      </w:pPr>
    </w:p>
    <w:p>
      <w:pPr>
        <w:pStyle w:val="Heading4"/>
        <w:numPr>
          <w:ilvl w:val="0"/>
          <w:numId w:val="4"/>
        </w:numPr>
        <w:tabs>
          <w:tab w:pos="456" w:val="left" w:leader="none"/>
        </w:tabs>
        <w:spacing w:line="240" w:lineRule="auto" w:before="56" w:after="0"/>
        <w:ind w:left="455" w:right="0" w:hanging="335"/>
        <w:jc w:val="left"/>
      </w:pPr>
      <w:r>
        <w:rPr/>
        <w:t>Negocios</w:t>
      </w:r>
      <w:r>
        <w:rPr>
          <w:spacing w:val="-2"/>
        </w:rPr>
        <w:t> </w:t>
      </w:r>
      <w:r>
        <w:rPr/>
        <w:t>conjuntos.</w:t>
      </w:r>
    </w:p>
    <w:p>
      <w:pPr>
        <w:pStyle w:val="BodyText"/>
        <w:spacing w:before="10"/>
        <w:rPr>
          <w:b/>
        </w:rPr>
      </w:pPr>
    </w:p>
    <w:p>
      <w:pPr>
        <w:pStyle w:val="BodyText"/>
        <w:spacing w:line="273" w:lineRule="auto"/>
        <w:ind w:left="121" w:right="1028"/>
        <w:jc w:val="both"/>
      </w:pPr>
      <w:r>
        <w:rPr/>
        <w:t>La Sociedad no participa en ninguna actividad económica controlada conjuntamente por dos o más personas físicas o jurídicas.</w:t>
      </w:r>
    </w:p>
    <w:p>
      <w:pPr>
        <w:pStyle w:val="BodyText"/>
        <w:spacing w:before="6"/>
        <w:rPr>
          <w:sz w:val="16"/>
        </w:rPr>
      </w:pPr>
    </w:p>
    <w:p>
      <w:pPr>
        <w:pStyle w:val="Heading4"/>
        <w:numPr>
          <w:ilvl w:val="0"/>
          <w:numId w:val="4"/>
        </w:numPr>
        <w:tabs>
          <w:tab w:pos="456" w:val="left" w:leader="none"/>
        </w:tabs>
        <w:spacing w:line="240" w:lineRule="auto" w:before="0" w:after="0"/>
        <w:ind w:left="455" w:right="0" w:hanging="335"/>
        <w:jc w:val="left"/>
      </w:pPr>
      <w:r>
        <w:rPr/>
        <w:t>Transacciones entre partes</w:t>
      </w:r>
      <w:r>
        <w:rPr>
          <w:spacing w:val="-2"/>
        </w:rPr>
        <w:t> </w:t>
      </w:r>
      <w:r>
        <w:rPr/>
        <w:t>vinculadas.</w:t>
      </w:r>
    </w:p>
    <w:p>
      <w:pPr>
        <w:pStyle w:val="BodyText"/>
        <w:spacing w:before="10"/>
        <w:rPr>
          <w:b/>
        </w:rPr>
      </w:pPr>
    </w:p>
    <w:p>
      <w:pPr>
        <w:pStyle w:val="BodyText"/>
        <w:spacing w:before="1"/>
        <w:ind w:left="121" w:right="1030"/>
        <w:jc w:val="both"/>
      </w:pPr>
      <w:r>
        <w:rPr/>
        <w:t>Las operaciones entre empresas del mismo grupo, con independencia del grado de vinculación, se contabilizan de acuerdo con las normas generales. Los elementos objeto de las transacciones que se realicen se contabilizarán en el momento inicial por su valor razonable. La valoración posterior se realiza de acuerdo con lo previsto en las normas particulares para las cuentas que</w:t>
      </w:r>
      <w:r>
        <w:rPr>
          <w:spacing w:val="-8"/>
        </w:rPr>
        <w:t> </w:t>
      </w:r>
      <w:r>
        <w:rPr/>
        <w:t>corresponda.</w:t>
      </w:r>
    </w:p>
    <w:p>
      <w:pPr>
        <w:pStyle w:val="BodyText"/>
        <w:rPr>
          <w:sz w:val="18"/>
        </w:rPr>
      </w:pPr>
    </w:p>
    <w:p>
      <w:pPr>
        <w:pStyle w:val="BodyText"/>
        <w:rPr>
          <w:sz w:val="18"/>
        </w:rPr>
      </w:pPr>
    </w:p>
    <w:p>
      <w:pPr>
        <w:pStyle w:val="Heading1"/>
        <w:numPr>
          <w:ilvl w:val="0"/>
          <w:numId w:val="12"/>
        </w:numPr>
        <w:tabs>
          <w:tab w:pos="755" w:val="left" w:leader="none"/>
          <w:tab w:pos="756" w:val="left" w:leader="none"/>
          <w:tab w:pos="2970" w:val="left" w:leader="none"/>
          <w:tab w:pos="4671" w:val="left" w:leader="none"/>
          <w:tab w:pos="6505" w:val="left" w:leader="none"/>
          <w:tab w:pos="7059" w:val="left" w:leader="none"/>
        </w:tabs>
        <w:spacing w:line="273" w:lineRule="auto" w:before="155" w:after="0"/>
        <w:ind w:left="121" w:right="1030" w:firstLine="0"/>
        <w:jc w:val="left"/>
      </w:pPr>
      <w:r>
        <w:rPr/>
        <w:t>INMOVILIZADO</w:t>
      </w:r>
      <w:r>
        <w:rPr>
          <w:rFonts w:ascii="Times New Roman"/>
          <w:b w:val="0"/>
        </w:rPr>
        <w:tab/>
      </w:r>
      <w:r>
        <w:rPr/>
        <w:t>MATERIAL,</w:t>
      </w:r>
      <w:r>
        <w:rPr>
          <w:rFonts w:ascii="Times New Roman"/>
          <w:b w:val="0"/>
        </w:rPr>
        <w:tab/>
      </w:r>
      <w:r>
        <w:rPr/>
        <w:t>INTANGIBLE</w:t>
      </w:r>
      <w:r>
        <w:rPr>
          <w:rFonts w:ascii="Times New Roman"/>
          <w:b w:val="0"/>
        </w:rPr>
        <w:tab/>
      </w:r>
      <w:r>
        <w:rPr/>
        <w:t>E</w:t>
      </w:r>
      <w:r>
        <w:rPr>
          <w:rFonts w:ascii="Times New Roman"/>
          <w:b w:val="0"/>
        </w:rPr>
        <w:tab/>
      </w:r>
      <w:r>
        <w:rPr>
          <w:spacing w:val="-1"/>
        </w:rPr>
        <w:t>INVERSIONES </w:t>
      </w:r>
      <w:r>
        <w:rPr/>
        <w:t>INMOBILIARIAS.</w:t>
      </w:r>
    </w:p>
    <w:p>
      <w:pPr>
        <w:pStyle w:val="BodyText"/>
        <w:spacing w:before="9"/>
        <w:rPr>
          <w:b/>
          <w:sz w:val="16"/>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39"/>
        <w:gridCol w:w="1154"/>
        <w:gridCol w:w="1132"/>
        <w:gridCol w:w="1134"/>
      </w:tblGrid>
      <w:tr>
        <w:trPr>
          <w:trHeight w:val="1026" w:hRule="atLeast"/>
        </w:trPr>
        <w:tc>
          <w:tcPr>
            <w:tcW w:w="5239" w:type="dxa"/>
          </w:tcPr>
          <w:p>
            <w:pPr>
              <w:pStyle w:val="TableParagraph"/>
              <w:spacing w:before="0"/>
              <w:rPr>
                <w:b/>
                <w:sz w:val="16"/>
              </w:rPr>
            </w:pPr>
          </w:p>
          <w:p>
            <w:pPr>
              <w:pStyle w:val="TableParagraph"/>
              <w:spacing w:before="122"/>
              <w:ind w:left="1151" w:right="439" w:hanging="689"/>
              <w:rPr>
                <w:b/>
                <w:sz w:val="16"/>
              </w:rPr>
            </w:pPr>
            <w:r>
              <w:rPr>
                <w:b/>
                <w:sz w:val="16"/>
              </w:rPr>
              <w:t>a) Estado de movimientos del inmovilizado material, intangible e inversiones inmobiliarias del ejercicio actual</w:t>
            </w:r>
          </w:p>
        </w:tc>
        <w:tc>
          <w:tcPr>
            <w:tcW w:w="1154" w:type="dxa"/>
          </w:tcPr>
          <w:p>
            <w:pPr>
              <w:pStyle w:val="TableParagraph"/>
              <w:spacing w:before="0"/>
              <w:rPr>
                <w:b/>
                <w:sz w:val="16"/>
              </w:rPr>
            </w:pPr>
          </w:p>
          <w:p>
            <w:pPr>
              <w:pStyle w:val="TableParagraph"/>
              <w:spacing w:before="122"/>
              <w:ind w:left="252" w:right="136" w:hanging="92"/>
              <w:rPr>
                <w:sz w:val="16"/>
              </w:rPr>
            </w:pPr>
            <w:r>
              <w:rPr>
                <w:sz w:val="16"/>
              </w:rPr>
              <w:t>Inmovilizado intangible</w:t>
            </w:r>
          </w:p>
        </w:tc>
        <w:tc>
          <w:tcPr>
            <w:tcW w:w="1132" w:type="dxa"/>
          </w:tcPr>
          <w:p>
            <w:pPr>
              <w:pStyle w:val="TableParagraph"/>
              <w:spacing w:before="0"/>
              <w:rPr>
                <w:b/>
                <w:sz w:val="16"/>
              </w:rPr>
            </w:pPr>
          </w:p>
          <w:p>
            <w:pPr>
              <w:pStyle w:val="TableParagraph"/>
              <w:spacing w:before="122"/>
              <w:ind w:left="295" w:right="123" w:hanging="144"/>
              <w:rPr>
                <w:sz w:val="16"/>
              </w:rPr>
            </w:pPr>
            <w:r>
              <w:rPr>
                <w:sz w:val="16"/>
              </w:rPr>
              <w:t>Inmovilizado material</w:t>
            </w:r>
          </w:p>
        </w:tc>
        <w:tc>
          <w:tcPr>
            <w:tcW w:w="1134" w:type="dxa"/>
          </w:tcPr>
          <w:p>
            <w:pPr>
              <w:pStyle w:val="TableParagraph"/>
              <w:spacing w:before="0"/>
              <w:rPr>
                <w:b/>
                <w:sz w:val="16"/>
              </w:rPr>
            </w:pPr>
          </w:p>
          <w:p>
            <w:pPr>
              <w:pStyle w:val="TableParagraph"/>
              <w:spacing w:before="122"/>
              <w:ind w:left="150" w:right="118" w:firstLine="48"/>
              <w:rPr>
                <w:sz w:val="16"/>
              </w:rPr>
            </w:pPr>
            <w:r>
              <w:rPr>
                <w:sz w:val="16"/>
              </w:rPr>
              <w:t>Inversiones inmobiliarias</w:t>
            </w:r>
          </w:p>
        </w:tc>
      </w:tr>
      <w:tr>
        <w:trPr>
          <w:trHeight w:val="225" w:hRule="atLeast"/>
        </w:trPr>
        <w:tc>
          <w:tcPr>
            <w:tcW w:w="5239" w:type="dxa"/>
            <w:vMerge w:val="restart"/>
          </w:tcPr>
          <w:p>
            <w:pPr>
              <w:pStyle w:val="TableParagraph"/>
              <w:numPr>
                <w:ilvl w:val="0"/>
                <w:numId w:val="13"/>
              </w:numPr>
              <w:tabs>
                <w:tab w:pos="247" w:val="left" w:leader="none"/>
              </w:tabs>
              <w:spacing w:line="288" w:lineRule="auto" w:before="30" w:after="0"/>
              <w:ind w:left="69" w:right="2450" w:firstLine="0"/>
              <w:jc w:val="left"/>
              <w:rPr>
                <w:sz w:val="16"/>
              </w:rPr>
            </w:pPr>
            <w:r>
              <w:rPr>
                <w:sz w:val="16"/>
              </w:rPr>
              <w:t>SALDO INICIAL BRUTO, EJERCICIO 2024 (+)</w:t>
            </w:r>
            <w:r>
              <w:rPr>
                <w:spacing w:val="-2"/>
                <w:sz w:val="16"/>
              </w:rPr>
              <w:t> </w:t>
            </w:r>
            <w:r>
              <w:rPr>
                <w:sz w:val="16"/>
              </w:rPr>
              <w:t>Entradas</w:t>
            </w:r>
          </w:p>
          <w:p>
            <w:pPr>
              <w:pStyle w:val="TableParagraph"/>
              <w:spacing w:before="1"/>
              <w:ind w:left="69"/>
              <w:rPr>
                <w:sz w:val="16"/>
              </w:rPr>
            </w:pPr>
            <w:r>
              <w:rPr>
                <w:sz w:val="16"/>
              </w:rPr>
              <w:t>(-) Salidas</w:t>
            </w:r>
          </w:p>
          <w:p>
            <w:pPr>
              <w:pStyle w:val="TableParagraph"/>
              <w:numPr>
                <w:ilvl w:val="0"/>
                <w:numId w:val="13"/>
              </w:numPr>
              <w:tabs>
                <w:tab w:pos="240" w:val="left" w:leader="none"/>
              </w:tabs>
              <w:spacing w:line="175" w:lineRule="exact" w:before="40" w:after="0"/>
              <w:ind w:left="239" w:right="0" w:hanging="171"/>
              <w:jc w:val="left"/>
              <w:rPr>
                <w:sz w:val="16"/>
              </w:rPr>
            </w:pPr>
            <w:r>
              <w:rPr>
                <w:sz w:val="16"/>
              </w:rPr>
              <w:t>SALDO FINAL BRUTO, EJERCICIO</w:t>
            </w:r>
            <w:r>
              <w:rPr>
                <w:spacing w:val="-6"/>
                <w:sz w:val="16"/>
              </w:rPr>
              <w:t> </w:t>
            </w:r>
            <w:r>
              <w:rPr>
                <w:sz w:val="16"/>
              </w:rPr>
              <w:t>2024</w:t>
            </w:r>
          </w:p>
        </w:tc>
        <w:tc>
          <w:tcPr>
            <w:tcW w:w="1154" w:type="dxa"/>
          </w:tcPr>
          <w:p>
            <w:pPr>
              <w:pStyle w:val="TableParagraph"/>
              <w:spacing w:line="175" w:lineRule="exact" w:before="30"/>
              <w:ind w:right="57"/>
              <w:jc w:val="right"/>
              <w:rPr>
                <w:sz w:val="16"/>
              </w:rPr>
            </w:pPr>
            <w:r>
              <w:rPr>
                <w:sz w:val="16"/>
              </w:rPr>
              <w:t>10.417,16</w:t>
            </w:r>
          </w:p>
        </w:tc>
        <w:tc>
          <w:tcPr>
            <w:tcW w:w="1132" w:type="dxa"/>
          </w:tcPr>
          <w:p>
            <w:pPr>
              <w:pStyle w:val="TableParagraph"/>
              <w:spacing w:line="175" w:lineRule="exact" w:before="30"/>
              <w:ind w:right="54"/>
              <w:jc w:val="right"/>
              <w:rPr>
                <w:sz w:val="16"/>
              </w:rPr>
            </w:pPr>
            <w:r>
              <w:rPr>
                <w:sz w:val="16"/>
              </w:rPr>
              <w:t>122.424,17</w:t>
            </w: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before="0"/>
              <w:rPr>
                <w:rFonts w:ascii="Times New Roman"/>
                <w:sz w:val="16"/>
              </w:rPr>
            </w:pPr>
          </w:p>
        </w:tc>
        <w:tc>
          <w:tcPr>
            <w:tcW w:w="1132" w:type="dxa"/>
          </w:tcPr>
          <w:p>
            <w:pPr>
              <w:pStyle w:val="TableParagraph"/>
              <w:spacing w:line="175" w:lineRule="exact" w:before="30"/>
              <w:ind w:right="54"/>
              <w:jc w:val="right"/>
              <w:rPr>
                <w:sz w:val="16"/>
              </w:rPr>
            </w:pPr>
            <w:r>
              <w:rPr>
                <w:sz w:val="16"/>
              </w:rPr>
              <w:t>6.708,75</w:t>
            </w: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line="175" w:lineRule="exact" w:before="30"/>
              <w:ind w:right="57"/>
              <w:jc w:val="right"/>
              <w:rPr>
                <w:sz w:val="16"/>
              </w:rPr>
            </w:pPr>
            <w:r>
              <w:rPr>
                <w:sz w:val="16"/>
              </w:rPr>
              <w:t>10.417,16</w:t>
            </w:r>
          </w:p>
        </w:tc>
        <w:tc>
          <w:tcPr>
            <w:tcW w:w="1132" w:type="dxa"/>
          </w:tcPr>
          <w:p>
            <w:pPr>
              <w:pStyle w:val="TableParagraph"/>
              <w:spacing w:line="175" w:lineRule="exact" w:before="30"/>
              <w:ind w:right="54"/>
              <w:jc w:val="right"/>
              <w:rPr>
                <w:sz w:val="16"/>
              </w:rPr>
            </w:pPr>
            <w:r>
              <w:rPr>
                <w:sz w:val="16"/>
              </w:rPr>
              <w:t>129.132,75</w:t>
            </w:r>
          </w:p>
        </w:tc>
        <w:tc>
          <w:tcPr>
            <w:tcW w:w="1134" w:type="dxa"/>
          </w:tcPr>
          <w:p>
            <w:pPr>
              <w:pStyle w:val="TableParagraph"/>
              <w:spacing w:before="0"/>
              <w:rPr>
                <w:rFonts w:ascii="Times New Roman"/>
                <w:sz w:val="16"/>
              </w:rPr>
            </w:pPr>
          </w:p>
        </w:tc>
      </w:tr>
      <w:tr>
        <w:trPr>
          <w:trHeight w:val="225" w:hRule="atLeast"/>
        </w:trPr>
        <w:tc>
          <w:tcPr>
            <w:tcW w:w="5239" w:type="dxa"/>
            <w:vMerge w:val="restart"/>
          </w:tcPr>
          <w:p>
            <w:pPr>
              <w:pStyle w:val="TableParagraph"/>
              <w:numPr>
                <w:ilvl w:val="0"/>
                <w:numId w:val="14"/>
              </w:numPr>
              <w:tabs>
                <w:tab w:pos="240" w:val="left" w:leader="none"/>
              </w:tabs>
              <w:spacing w:line="288" w:lineRule="auto" w:before="30" w:after="0"/>
              <w:ind w:left="69" w:right="928" w:firstLine="0"/>
              <w:jc w:val="left"/>
              <w:rPr>
                <w:sz w:val="16"/>
              </w:rPr>
            </w:pPr>
            <w:r>
              <w:rPr>
                <w:sz w:val="16"/>
              </w:rPr>
              <w:t>AMORTIZACION ACUMULADA, SALDO INICIAL, EJERCICIO 2024 (+) Dotación a la amortización del</w:t>
            </w:r>
            <w:r>
              <w:rPr>
                <w:spacing w:val="-7"/>
                <w:sz w:val="16"/>
              </w:rPr>
              <w:t> </w:t>
            </w:r>
            <w:r>
              <w:rPr>
                <w:sz w:val="16"/>
              </w:rPr>
              <w:t>ejercicio</w:t>
            </w:r>
          </w:p>
          <w:p>
            <w:pPr>
              <w:pStyle w:val="TableParagraph"/>
              <w:spacing w:line="195" w:lineRule="exact" w:before="0"/>
              <w:ind w:left="69"/>
              <w:rPr>
                <w:sz w:val="16"/>
              </w:rPr>
            </w:pPr>
            <w:r>
              <w:rPr>
                <w:sz w:val="16"/>
              </w:rPr>
              <w:t>(+) Dotación por adquisiciones o traspasos</w:t>
            </w:r>
          </w:p>
          <w:p>
            <w:pPr>
              <w:pStyle w:val="TableParagraph"/>
              <w:spacing w:before="39"/>
              <w:ind w:left="69"/>
              <w:rPr>
                <w:sz w:val="16"/>
              </w:rPr>
            </w:pPr>
            <w:r>
              <w:rPr>
                <w:sz w:val="16"/>
              </w:rPr>
              <w:t>(-) Disminuciones por salidas, bajas o traspasos</w:t>
            </w:r>
          </w:p>
          <w:p>
            <w:pPr>
              <w:pStyle w:val="TableParagraph"/>
              <w:numPr>
                <w:ilvl w:val="0"/>
                <w:numId w:val="14"/>
              </w:numPr>
              <w:tabs>
                <w:tab w:pos="252" w:val="left" w:leader="none"/>
              </w:tabs>
              <w:spacing w:line="178" w:lineRule="exact" w:before="40" w:after="0"/>
              <w:ind w:left="251" w:right="0" w:hanging="183"/>
              <w:jc w:val="left"/>
              <w:rPr>
                <w:sz w:val="16"/>
              </w:rPr>
            </w:pPr>
            <w:r>
              <w:rPr>
                <w:sz w:val="16"/>
              </w:rPr>
              <w:t>AMORTIZACION ACUMULADA, SALDO FINAL EJERCICIO</w:t>
            </w:r>
            <w:r>
              <w:rPr>
                <w:spacing w:val="-8"/>
                <w:sz w:val="16"/>
              </w:rPr>
              <w:t> </w:t>
            </w:r>
            <w:r>
              <w:rPr>
                <w:sz w:val="16"/>
              </w:rPr>
              <w:t>2024</w:t>
            </w:r>
          </w:p>
        </w:tc>
        <w:tc>
          <w:tcPr>
            <w:tcW w:w="1154" w:type="dxa"/>
          </w:tcPr>
          <w:p>
            <w:pPr>
              <w:pStyle w:val="TableParagraph"/>
              <w:spacing w:line="175" w:lineRule="exact" w:before="30"/>
              <w:ind w:right="57"/>
              <w:jc w:val="right"/>
              <w:rPr>
                <w:sz w:val="16"/>
              </w:rPr>
            </w:pPr>
            <w:r>
              <w:rPr>
                <w:sz w:val="16"/>
              </w:rPr>
              <w:t>8.747,06</w:t>
            </w:r>
          </w:p>
        </w:tc>
        <w:tc>
          <w:tcPr>
            <w:tcW w:w="1132" w:type="dxa"/>
          </w:tcPr>
          <w:p>
            <w:pPr>
              <w:pStyle w:val="TableParagraph"/>
              <w:spacing w:line="175" w:lineRule="exact" w:before="30"/>
              <w:ind w:right="54"/>
              <w:jc w:val="right"/>
              <w:rPr>
                <w:sz w:val="16"/>
              </w:rPr>
            </w:pPr>
            <w:r>
              <w:rPr>
                <w:sz w:val="16"/>
              </w:rPr>
              <w:t>93.444,57</w:t>
            </w: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line="175" w:lineRule="exact" w:before="30"/>
              <w:ind w:right="57"/>
              <w:jc w:val="right"/>
              <w:rPr>
                <w:sz w:val="16"/>
              </w:rPr>
            </w:pPr>
            <w:r>
              <w:rPr>
                <w:sz w:val="16"/>
              </w:rPr>
              <w:t>1.193,66</w:t>
            </w:r>
          </w:p>
        </w:tc>
        <w:tc>
          <w:tcPr>
            <w:tcW w:w="1132" w:type="dxa"/>
          </w:tcPr>
          <w:p>
            <w:pPr>
              <w:pStyle w:val="TableParagraph"/>
              <w:spacing w:line="175" w:lineRule="exact" w:before="30"/>
              <w:ind w:right="54"/>
              <w:jc w:val="right"/>
              <w:rPr>
                <w:sz w:val="16"/>
              </w:rPr>
            </w:pPr>
            <w:r>
              <w:rPr>
                <w:sz w:val="16"/>
              </w:rPr>
              <w:t>4.923,33</w:t>
            </w: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line="178" w:lineRule="exact" w:before="27"/>
              <w:ind w:right="57"/>
              <w:jc w:val="right"/>
              <w:rPr>
                <w:sz w:val="16"/>
              </w:rPr>
            </w:pPr>
            <w:r>
              <w:rPr>
                <w:sz w:val="16"/>
              </w:rPr>
              <w:t>9.940,72</w:t>
            </w:r>
          </w:p>
        </w:tc>
        <w:tc>
          <w:tcPr>
            <w:tcW w:w="1132" w:type="dxa"/>
          </w:tcPr>
          <w:p>
            <w:pPr>
              <w:pStyle w:val="TableParagraph"/>
              <w:spacing w:line="178" w:lineRule="exact" w:before="27"/>
              <w:ind w:right="54"/>
              <w:jc w:val="right"/>
              <w:rPr>
                <w:sz w:val="16"/>
              </w:rPr>
            </w:pPr>
            <w:r>
              <w:rPr>
                <w:sz w:val="16"/>
              </w:rPr>
              <w:t>98.367,90</w:t>
            </w:r>
          </w:p>
        </w:tc>
        <w:tc>
          <w:tcPr>
            <w:tcW w:w="1134" w:type="dxa"/>
          </w:tcPr>
          <w:p>
            <w:pPr>
              <w:pStyle w:val="TableParagraph"/>
              <w:spacing w:before="0"/>
              <w:rPr>
                <w:rFonts w:ascii="Times New Roman"/>
                <w:sz w:val="16"/>
              </w:rPr>
            </w:pPr>
          </w:p>
        </w:tc>
      </w:tr>
      <w:tr>
        <w:trPr>
          <w:trHeight w:val="225" w:hRule="atLeast"/>
        </w:trPr>
        <w:tc>
          <w:tcPr>
            <w:tcW w:w="5239" w:type="dxa"/>
            <w:vMerge w:val="restart"/>
          </w:tcPr>
          <w:p>
            <w:pPr>
              <w:pStyle w:val="TableParagraph"/>
              <w:numPr>
                <w:ilvl w:val="0"/>
                <w:numId w:val="15"/>
              </w:numPr>
              <w:tabs>
                <w:tab w:pos="233" w:val="left" w:leader="none"/>
              </w:tabs>
              <w:spacing w:line="288" w:lineRule="auto" w:before="27" w:after="0"/>
              <w:ind w:left="69" w:right="110" w:firstLine="0"/>
              <w:jc w:val="left"/>
              <w:rPr>
                <w:sz w:val="16"/>
              </w:rPr>
            </w:pPr>
            <w:r>
              <w:rPr>
                <w:sz w:val="16"/>
              </w:rPr>
              <w:t>CORRECCIONES DE VALOR POR DETERIORO, SALDO INICIAL EJERCICIO 2024 (+) Correcciones valorativas por deterioro reconocidas en el</w:t>
            </w:r>
            <w:r>
              <w:rPr>
                <w:spacing w:val="-13"/>
                <w:sz w:val="16"/>
              </w:rPr>
              <w:t> </w:t>
            </w:r>
            <w:r>
              <w:rPr>
                <w:sz w:val="16"/>
              </w:rPr>
              <w:t>período</w:t>
            </w:r>
          </w:p>
          <w:p>
            <w:pPr>
              <w:pStyle w:val="TableParagraph"/>
              <w:spacing w:line="288" w:lineRule="auto" w:before="2"/>
              <w:ind w:left="69" w:right="1681"/>
              <w:rPr>
                <w:sz w:val="16"/>
              </w:rPr>
            </w:pPr>
            <w:r>
              <w:rPr>
                <w:sz w:val="16"/>
              </w:rPr>
              <w:t>(-) Revisión de correcciones valorativas por deterioro (-) Disminuciones por salidas, bajas o traspasos</w:t>
            </w:r>
          </w:p>
          <w:p>
            <w:pPr>
              <w:pStyle w:val="TableParagraph"/>
              <w:numPr>
                <w:ilvl w:val="0"/>
                <w:numId w:val="15"/>
              </w:numPr>
              <w:tabs>
                <w:tab w:pos="228" w:val="left" w:leader="none"/>
              </w:tabs>
              <w:spacing w:line="175" w:lineRule="exact" w:before="1" w:after="0"/>
              <w:ind w:left="227" w:right="0" w:hanging="159"/>
              <w:jc w:val="left"/>
              <w:rPr>
                <w:sz w:val="16"/>
              </w:rPr>
            </w:pPr>
            <w:r>
              <w:rPr>
                <w:sz w:val="16"/>
              </w:rPr>
              <w:t>CORRECCIONES DE VALOR POR DETERIORO, SALDO FINAL EJERCICIO</w:t>
            </w:r>
            <w:r>
              <w:rPr>
                <w:spacing w:val="-16"/>
                <w:sz w:val="16"/>
              </w:rPr>
              <w:t> </w:t>
            </w:r>
            <w:r>
              <w:rPr>
                <w:sz w:val="16"/>
              </w:rPr>
              <w:t>2024</w:t>
            </w:r>
          </w:p>
        </w:tc>
        <w:tc>
          <w:tcPr>
            <w:tcW w:w="1154"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1134" w:type="dxa"/>
          </w:tcPr>
          <w:p>
            <w:pPr>
              <w:pStyle w:val="TableParagraph"/>
              <w:spacing w:before="0"/>
              <w:rPr>
                <w:rFonts w:ascii="Times New Roman"/>
                <w:sz w:val="16"/>
              </w:rPr>
            </w:pPr>
          </w:p>
        </w:tc>
      </w:tr>
      <w:tr>
        <w:trPr>
          <w:trHeight w:val="222" w:hRule="atLeast"/>
        </w:trPr>
        <w:tc>
          <w:tcPr>
            <w:tcW w:w="5239" w:type="dxa"/>
            <w:vMerge/>
            <w:tcBorders>
              <w:top w:val="nil"/>
            </w:tcBorders>
          </w:tcPr>
          <w:p>
            <w:pPr>
              <w:rPr>
                <w:sz w:val="2"/>
                <w:szCs w:val="2"/>
              </w:rPr>
            </w:pPr>
          </w:p>
        </w:tc>
        <w:tc>
          <w:tcPr>
            <w:tcW w:w="1154" w:type="dxa"/>
          </w:tcPr>
          <w:p>
            <w:pPr>
              <w:pStyle w:val="TableParagraph"/>
              <w:spacing w:before="0"/>
              <w:rPr>
                <w:rFonts w:ascii="Times New Roman"/>
                <w:sz w:val="14"/>
              </w:rPr>
            </w:pPr>
          </w:p>
        </w:tc>
        <w:tc>
          <w:tcPr>
            <w:tcW w:w="1132" w:type="dxa"/>
          </w:tcPr>
          <w:p>
            <w:pPr>
              <w:pStyle w:val="TableParagraph"/>
              <w:spacing w:before="0"/>
              <w:rPr>
                <w:rFonts w:ascii="Times New Roman"/>
                <w:sz w:val="14"/>
              </w:rPr>
            </w:pPr>
          </w:p>
        </w:tc>
        <w:tc>
          <w:tcPr>
            <w:tcW w:w="1134" w:type="dxa"/>
          </w:tcPr>
          <w:p>
            <w:pPr>
              <w:pStyle w:val="TableParagraph"/>
              <w:spacing w:before="0"/>
              <w:rPr>
                <w:rFonts w:ascii="Times New Roman"/>
                <w:sz w:val="14"/>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1134" w:type="dxa"/>
          </w:tcPr>
          <w:p>
            <w:pPr>
              <w:pStyle w:val="TableParagraph"/>
              <w:spacing w:before="0"/>
              <w:rPr>
                <w:rFonts w:ascii="Times New Roman"/>
                <w:sz w:val="16"/>
              </w:rPr>
            </w:pPr>
          </w:p>
        </w:tc>
      </w:tr>
      <w:tr>
        <w:trPr>
          <w:trHeight w:val="225" w:hRule="atLeast"/>
        </w:trPr>
        <w:tc>
          <w:tcPr>
            <w:tcW w:w="5239" w:type="dxa"/>
          </w:tcPr>
          <w:p>
            <w:pPr>
              <w:pStyle w:val="TableParagraph"/>
              <w:spacing w:line="175" w:lineRule="exact" w:before="30"/>
              <w:ind w:left="69"/>
              <w:rPr>
                <w:sz w:val="16"/>
              </w:rPr>
            </w:pPr>
            <w:r>
              <w:rPr>
                <w:sz w:val="16"/>
              </w:rPr>
              <w:t>G) VALOR NETO CONTABLE FINAL DEL EJERCICIO 2024</w:t>
            </w:r>
          </w:p>
        </w:tc>
        <w:tc>
          <w:tcPr>
            <w:tcW w:w="1154" w:type="dxa"/>
          </w:tcPr>
          <w:p>
            <w:pPr>
              <w:pStyle w:val="TableParagraph"/>
              <w:spacing w:line="175" w:lineRule="exact" w:before="30"/>
              <w:ind w:right="57"/>
              <w:jc w:val="right"/>
              <w:rPr>
                <w:sz w:val="16"/>
              </w:rPr>
            </w:pPr>
            <w:r>
              <w:rPr>
                <w:sz w:val="16"/>
              </w:rPr>
              <w:t>476,44</w:t>
            </w:r>
          </w:p>
        </w:tc>
        <w:tc>
          <w:tcPr>
            <w:tcW w:w="1132" w:type="dxa"/>
          </w:tcPr>
          <w:p>
            <w:pPr>
              <w:pStyle w:val="TableParagraph"/>
              <w:spacing w:line="175" w:lineRule="exact" w:before="30"/>
              <w:ind w:right="54"/>
              <w:jc w:val="right"/>
              <w:rPr>
                <w:sz w:val="16"/>
              </w:rPr>
            </w:pPr>
            <w:r>
              <w:rPr>
                <w:sz w:val="16"/>
              </w:rPr>
              <w:t>30.764,85</w:t>
            </w:r>
          </w:p>
        </w:tc>
        <w:tc>
          <w:tcPr>
            <w:tcW w:w="1134" w:type="dxa"/>
          </w:tcPr>
          <w:p>
            <w:pPr>
              <w:pStyle w:val="TableParagraph"/>
              <w:spacing w:before="0"/>
              <w:rPr>
                <w:rFonts w:ascii="Times New Roman"/>
                <w:sz w:val="16"/>
              </w:rPr>
            </w:pPr>
          </w:p>
        </w:tc>
      </w:tr>
    </w:tbl>
    <w:p>
      <w:pPr>
        <w:pStyle w:val="BodyText"/>
        <w:rPr>
          <w:b/>
          <w:sz w:val="20"/>
        </w:rPr>
      </w:pPr>
    </w:p>
    <w:p>
      <w:pPr>
        <w:pStyle w:val="BodyText"/>
        <w:rPr>
          <w:b/>
          <w:sz w:val="20"/>
        </w:rPr>
      </w:pPr>
    </w:p>
    <w:p>
      <w:pPr>
        <w:pStyle w:val="BodyText"/>
        <w:spacing w:before="5"/>
        <w:rPr>
          <w:b/>
          <w:sz w:val="15"/>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39"/>
        <w:gridCol w:w="1154"/>
        <w:gridCol w:w="1132"/>
        <w:gridCol w:w="1134"/>
      </w:tblGrid>
      <w:tr>
        <w:trPr>
          <w:trHeight w:val="1026" w:hRule="atLeast"/>
        </w:trPr>
        <w:tc>
          <w:tcPr>
            <w:tcW w:w="5239" w:type="dxa"/>
          </w:tcPr>
          <w:p>
            <w:pPr>
              <w:pStyle w:val="TableParagraph"/>
              <w:spacing w:before="0"/>
              <w:rPr>
                <w:b/>
                <w:sz w:val="16"/>
              </w:rPr>
            </w:pPr>
          </w:p>
          <w:p>
            <w:pPr>
              <w:pStyle w:val="TableParagraph"/>
              <w:spacing w:before="122"/>
              <w:ind w:left="1151" w:right="439" w:hanging="689"/>
              <w:rPr>
                <w:b/>
                <w:sz w:val="16"/>
              </w:rPr>
            </w:pPr>
            <w:r>
              <w:rPr>
                <w:b/>
                <w:sz w:val="16"/>
              </w:rPr>
              <w:t>a) Estado de movimientos del inmovilizado material, intangible e inversiones inmobiliarias del ejercicio actual</w:t>
            </w:r>
          </w:p>
        </w:tc>
        <w:tc>
          <w:tcPr>
            <w:tcW w:w="1154" w:type="dxa"/>
          </w:tcPr>
          <w:p>
            <w:pPr>
              <w:pStyle w:val="TableParagraph"/>
              <w:spacing w:before="0"/>
              <w:rPr>
                <w:b/>
                <w:sz w:val="16"/>
              </w:rPr>
            </w:pPr>
          </w:p>
          <w:p>
            <w:pPr>
              <w:pStyle w:val="TableParagraph"/>
              <w:spacing w:before="122"/>
              <w:ind w:left="252" w:right="136" w:hanging="92"/>
              <w:rPr>
                <w:sz w:val="16"/>
              </w:rPr>
            </w:pPr>
            <w:r>
              <w:rPr>
                <w:sz w:val="16"/>
              </w:rPr>
              <w:t>Inmovilizado intangible</w:t>
            </w:r>
          </w:p>
        </w:tc>
        <w:tc>
          <w:tcPr>
            <w:tcW w:w="1132" w:type="dxa"/>
          </w:tcPr>
          <w:p>
            <w:pPr>
              <w:pStyle w:val="TableParagraph"/>
              <w:spacing w:before="0"/>
              <w:rPr>
                <w:b/>
                <w:sz w:val="16"/>
              </w:rPr>
            </w:pPr>
          </w:p>
          <w:p>
            <w:pPr>
              <w:pStyle w:val="TableParagraph"/>
              <w:spacing w:before="122"/>
              <w:ind w:left="295" w:right="123" w:hanging="144"/>
              <w:rPr>
                <w:sz w:val="16"/>
              </w:rPr>
            </w:pPr>
            <w:r>
              <w:rPr>
                <w:sz w:val="16"/>
              </w:rPr>
              <w:t>Inmovilizado material</w:t>
            </w:r>
          </w:p>
        </w:tc>
        <w:tc>
          <w:tcPr>
            <w:tcW w:w="1134" w:type="dxa"/>
          </w:tcPr>
          <w:p>
            <w:pPr>
              <w:pStyle w:val="TableParagraph"/>
              <w:spacing w:before="0"/>
              <w:rPr>
                <w:b/>
                <w:sz w:val="16"/>
              </w:rPr>
            </w:pPr>
          </w:p>
          <w:p>
            <w:pPr>
              <w:pStyle w:val="TableParagraph"/>
              <w:spacing w:before="122"/>
              <w:ind w:left="150" w:right="118" w:firstLine="48"/>
              <w:rPr>
                <w:sz w:val="16"/>
              </w:rPr>
            </w:pPr>
            <w:r>
              <w:rPr>
                <w:sz w:val="16"/>
              </w:rPr>
              <w:t>Inversiones inmobiliarias</w:t>
            </w:r>
          </w:p>
        </w:tc>
      </w:tr>
      <w:tr>
        <w:trPr>
          <w:trHeight w:val="225" w:hRule="atLeast"/>
        </w:trPr>
        <w:tc>
          <w:tcPr>
            <w:tcW w:w="5239" w:type="dxa"/>
            <w:vMerge w:val="restart"/>
          </w:tcPr>
          <w:p>
            <w:pPr>
              <w:pStyle w:val="TableParagraph"/>
              <w:numPr>
                <w:ilvl w:val="0"/>
                <w:numId w:val="16"/>
              </w:numPr>
              <w:tabs>
                <w:tab w:pos="247" w:val="left" w:leader="none"/>
              </w:tabs>
              <w:spacing w:line="288" w:lineRule="auto" w:before="30" w:after="0"/>
              <w:ind w:left="69" w:right="2450" w:firstLine="0"/>
              <w:jc w:val="left"/>
              <w:rPr>
                <w:sz w:val="16"/>
              </w:rPr>
            </w:pPr>
            <w:r>
              <w:rPr>
                <w:sz w:val="16"/>
              </w:rPr>
              <w:t>SALDO INICIAL BRUTO, EJERCICIO 2023 (+)</w:t>
            </w:r>
            <w:r>
              <w:rPr>
                <w:spacing w:val="-2"/>
                <w:sz w:val="16"/>
              </w:rPr>
              <w:t> </w:t>
            </w:r>
            <w:r>
              <w:rPr>
                <w:sz w:val="16"/>
              </w:rPr>
              <w:t>Entradas</w:t>
            </w:r>
          </w:p>
          <w:p>
            <w:pPr>
              <w:pStyle w:val="TableParagraph"/>
              <w:spacing w:line="195" w:lineRule="exact" w:before="0"/>
              <w:ind w:left="69"/>
              <w:rPr>
                <w:sz w:val="16"/>
              </w:rPr>
            </w:pPr>
            <w:r>
              <w:rPr>
                <w:sz w:val="16"/>
              </w:rPr>
              <w:t>(-) Salidas</w:t>
            </w:r>
          </w:p>
          <w:p>
            <w:pPr>
              <w:pStyle w:val="TableParagraph"/>
              <w:numPr>
                <w:ilvl w:val="0"/>
                <w:numId w:val="16"/>
              </w:numPr>
              <w:tabs>
                <w:tab w:pos="240" w:val="left" w:leader="none"/>
              </w:tabs>
              <w:spacing w:line="178" w:lineRule="exact" w:before="39" w:after="0"/>
              <w:ind w:left="239" w:right="0" w:hanging="171"/>
              <w:jc w:val="left"/>
              <w:rPr>
                <w:sz w:val="16"/>
              </w:rPr>
            </w:pPr>
            <w:r>
              <w:rPr>
                <w:sz w:val="16"/>
              </w:rPr>
              <w:t>SALDO FINAL BRUTO, EJERCICIO</w:t>
            </w:r>
            <w:r>
              <w:rPr>
                <w:spacing w:val="-6"/>
                <w:sz w:val="16"/>
              </w:rPr>
              <w:t> </w:t>
            </w:r>
            <w:r>
              <w:rPr>
                <w:sz w:val="16"/>
              </w:rPr>
              <w:t>2023</w:t>
            </w:r>
          </w:p>
        </w:tc>
        <w:tc>
          <w:tcPr>
            <w:tcW w:w="1154" w:type="dxa"/>
          </w:tcPr>
          <w:p>
            <w:pPr>
              <w:pStyle w:val="TableParagraph"/>
              <w:spacing w:line="175" w:lineRule="exact" w:before="30"/>
              <w:ind w:right="57"/>
              <w:jc w:val="right"/>
              <w:rPr>
                <w:sz w:val="16"/>
              </w:rPr>
            </w:pPr>
            <w:r>
              <w:rPr>
                <w:sz w:val="16"/>
              </w:rPr>
              <w:t>10.417,16</w:t>
            </w:r>
          </w:p>
        </w:tc>
        <w:tc>
          <w:tcPr>
            <w:tcW w:w="1132" w:type="dxa"/>
          </w:tcPr>
          <w:p>
            <w:pPr>
              <w:pStyle w:val="TableParagraph"/>
              <w:spacing w:line="175" w:lineRule="exact" w:before="30"/>
              <w:ind w:right="54"/>
              <w:jc w:val="right"/>
              <w:rPr>
                <w:sz w:val="16"/>
              </w:rPr>
            </w:pPr>
            <w:r>
              <w:rPr>
                <w:sz w:val="16"/>
              </w:rPr>
              <w:t>118.382,77</w:t>
            </w: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before="0"/>
              <w:rPr>
                <w:rFonts w:ascii="Times New Roman"/>
                <w:sz w:val="16"/>
              </w:rPr>
            </w:pPr>
          </w:p>
        </w:tc>
        <w:tc>
          <w:tcPr>
            <w:tcW w:w="1132" w:type="dxa"/>
          </w:tcPr>
          <w:p>
            <w:pPr>
              <w:pStyle w:val="TableParagraph"/>
              <w:spacing w:line="175" w:lineRule="exact" w:before="30"/>
              <w:ind w:right="54"/>
              <w:jc w:val="right"/>
              <w:rPr>
                <w:sz w:val="16"/>
              </w:rPr>
            </w:pPr>
            <w:r>
              <w:rPr>
                <w:sz w:val="16"/>
              </w:rPr>
              <w:t>4.041,40</w:t>
            </w: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line="178" w:lineRule="exact" w:before="27"/>
              <w:ind w:right="57"/>
              <w:jc w:val="right"/>
              <w:rPr>
                <w:sz w:val="16"/>
              </w:rPr>
            </w:pPr>
            <w:r>
              <w:rPr>
                <w:sz w:val="16"/>
              </w:rPr>
              <w:t>10.417,16</w:t>
            </w:r>
          </w:p>
        </w:tc>
        <w:tc>
          <w:tcPr>
            <w:tcW w:w="1132" w:type="dxa"/>
          </w:tcPr>
          <w:p>
            <w:pPr>
              <w:pStyle w:val="TableParagraph"/>
              <w:spacing w:line="178" w:lineRule="exact" w:before="27"/>
              <w:ind w:right="54"/>
              <w:jc w:val="right"/>
              <w:rPr>
                <w:sz w:val="16"/>
              </w:rPr>
            </w:pPr>
            <w:r>
              <w:rPr>
                <w:sz w:val="16"/>
              </w:rPr>
              <w:t>122.424,17</w:t>
            </w:r>
          </w:p>
        </w:tc>
        <w:tc>
          <w:tcPr>
            <w:tcW w:w="1134" w:type="dxa"/>
          </w:tcPr>
          <w:p>
            <w:pPr>
              <w:pStyle w:val="TableParagraph"/>
              <w:spacing w:before="0"/>
              <w:rPr>
                <w:rFonts w:ascii="Times New Roman"/>
                <w:sz w:val="16"/>
              </w:rPr>
            </w:pPr>
          </w:p>
        </w:tc>
      </w:tr>
      <w:tr>
        <w:trPr>
          <w:trHeight w:val="225" w:hRule="atLeast"/>
        </w:trPr>
        <w:tc>
          <w:tcPr>
            <w:tcW w:w="5239" w:type="dxa"/>
            <w:vMerge w:val="restart"/>
          </w:tcPr>
          <w:p>
            <w:pPr>
              <w:pStyle w:val="TableParagraph"/>
              <w:numPr>
                <w:ilvl w:val="0"/>
                <w:numId w:val="17"/>
              </w:numPr>
              <w:tabs>
                <w:tab w:pos="240" w:val="left" w:leader="none"/>
              </w:tabs>
              <w:spacing w:line="288" w:lineRule="auto" w:before="27" w:after="0"/>
              <w:ind w:left="69" w:right="928" w:firstLine="0"/>
              <w:jc w:val="left"/>
              <w:rPr>
                <w:sz w:val="16"/>
              </w:rPr>
            </w:pPr>
            <w:r>
              <w:rPr>
                <w:sz w:val="16"/>
              </w:rPr>
              <w:t>AMORTIZACION ACUMULADA, SALDO INICIAL, EJERCICIO 2023 (+) Dotación a la amortización del</w:t>
            </w:r>
            <w:r>
              <w:rPr>
                <w:spacing w:val="-7"/>
                <w:sz w:val="16"/>
              </w:rPr>
              <w:t> </w:t>
            </w:r>
            <w:r>
              <w:rPr>
                <w:sz w:val="16"/>
              </w:rPr>
              <w:t>ejercicio</w:t>
            </w:r>
          </w:p>
          <w:p>
            <w:pPr>
              <w:pStyle w:val="TableParagraph"/>
              <w:spacing w:before="2"/>
              <w:ind w:left="69"/>
              <w:rPr>
                <w:sz w:val="16"/>
              </w:rPr>
            </w:pPr>
            <w:r>
              <w:rPr>
                <w:sz w:val="16"/>
              </w:rPr>
              <w:t>(+) Dotación por adquisiciones o traspasos</w:t>
            </w:r>
          </w:p>
          <w:p>
            <w:pPr>
              <w:pStyle w:val="TableParagraph"/>
              <w:spacing w:before="40"/>
              <w:ind w:left="69"/>
              <w:rPr>
                <w:sz w:val="16"/>
              </w:rPr>
            </w:pPr>
            <w:r>
              <w:rPr>
                <w:sz w:val="16"/>
              </w:rPr>
              <w:t>(-) Disminuciones por salidas, bajas o traspasos</w:t>
            </w:r>
          </w:p>
          <w:p>
            <w:pPr>
              <w:pStyle w:val="TableParagraph"/>
              <w:numPr>
                <w:ilvl w:val="0"/>
                <w:numId w:val="17"/>
              </w:numPr>
              <w:tabs>
                <w:tab w:pos="252" w:val="left" w:leader="none"/>
              </w:tabs>
              <w:spacing w:line="175" w:lineRule="exact" w:before="40" w:after="0"/>
              <w:ind w:left="251" w:right="0" w:hanging="183"/>
              <w:jc w:val="left"/>
              <w:rPr>
                <w:sz w:val="16"/>
              </w:rPr>
            </w:pPr>
            <w:r>
              <w:rPr>
                <w:sz w:val="16"/>
              </w:rPr>
              <w:t>AMORTIZACION ACUMULADA, SALDO FINAL EJERCICIO</w:t>
            </w:r>
            <w:r>
              <w:rPr>
                <w:spacing w:val="-8"/>
                <w:sz w:val="16"/>
              </w:rPr>
              <w:t> </w:t>
            </w:r>
            <w:r>
              <w:rPr>
                <w:sz w:val="16"/>
              </w:rPr>
              <w:t>2023</w:t>
            </w:r>
          </w:p>
        </w:tc>
        <w:tc>
          <w:tcPr>
            <w:tcW w:w="1154" w:type="dxa"/>
          </w:tcPr>
          <w:p>
            <w:pPr>
              <w:pStyle w:val="TableParagraph"/>
              <w:spacing w:line="178" w:lineRule="exact" w:before="27"/>
              <w:ind w:right="57"/>
              <w:jc w:val="right"/>
              <w:rPr>
                <w:sz w:val="16"/>
              </w:rPr>
            </w:pPr>
            <w:r>
              <w:rPr>
                <w:sz w:val="16"/>
              </w:rPr>
              <w:t>7.494,54</w:t>
            </w:r>
          </w:p>
        </w:tc>
        <w:tc>
          <w:tcPr>
            <w:tcW w:w="1132" w:type="dxa"/>
          </w:tcPr>
          <w:p>
            <w:pPr>
              <w:pStyle w:val="TableParagraph"/>
              <w:spacing w:line="178" w:lineRule="exact" w:before="27"/>
              <w:ind w:right="54"/>
              <w:jc w:val="right"/>
              <w:rPr>
                <w:sz w:val="16"/>
              </w:rPr>
            </w:pPr>
            <w:r>
              <w:rPr>
                <w:sz w:val="16"/>
              </w:rPr>
              <w:t>89.228,48</w:t>
            </w: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line="178" w:lineRule="exact" w:before="27"/>
              <w:ind w:right="57"/>
              <w:jc w:val="right"/>
              <w:rPr>
                <w:sz w:val="16"/>
              </w:rPr>
            </w:pPr>
            <w:r>
              <w:rPr>
                <w:sz w:val="16"/>
              </w:rPr>
              <w:t>1.252,52</w:t>
            </w:r>
          </w:p>
        </w:tc>
        <w:tc>
          <w:tcPr>
            <w:tcW w:w="1132" w:type="dxa"/>
          </w:tcPr>
          <w:p>
            <w:pPr>
              <w:pStyle w:val="TableParagraph"/>
              <w:spacing w:line="178" w:lineRule="exact" w:before="27"/>
              <w:ind w:right="54"/>
              <w:jc w:val="right"/>
              <w:rPr>
                <w:sz w:val="16"/>
              </w:rPr>
            </w:pPr>
            <w:r>
              <w:rPr>
                <w:sz w:val="16"/>
              </w:rPr>
              <w:t>4.379,96</w:t>
            </w:r>
          </w:p>
        </w:tc>
        <w:tc>
          <w:tcPr>
            <w:tcW w:w="1134" w:type="dxa"/>
          </w:tcPr>
          <w:p>
            <w:pPr>
              <w:pStyle w:val="TableParagraph"/>
              <w:spacing w:before="0"/>
              <w:rPr>
                <w:rFonts w:ascii="Times New Roman"/>
                <w:sz w:val="16"/>
              </w:rPr>
            </w:pPr>
          </w:p>
        </w:tc>
      </w:tr>
      <w:tr>
        <w:trPr>
          <w:trHeight w:val="222" w:hRule="atLeast"/>
        </w:trPr>
        <w:tc>
          <w:tcPr>
            <w:tcW w:w="5239" w:type="dxa"/>
            <w:vMerge/>
            <w:tcBorders>
              <w:top w:val="nil"/>
            </w:tcBorders>
          </w:tcPr>
          <w:p>
            <w:pPr>
              <w:rPr>
                <w:sz w:val="2"/>
                <w:szCs w:val="2"/>
              </w:rPr>
            </w:pPr>
          </w:p>
        </w:tc>
        <w:tc>
          <w:tcPr>
            <w:tcW w:w="1154" w:type="dxa"/>
          </w:tcPr>
          <w:p>
            <w:pPr>
              <w:pStyle w:val="TableParagraph"/>
              <w:spacing w:before="0"/>
              <w:rPr>
                <w:rFonts w:ascii="Times New Roman"/>
                <w:sz w:val="14"/>
              </w:rPr>
            </w:pPr>
          </w:p>
        </w:tc>
        <w:tc>
          <w:tcPr>
            <w:tcW w:w="1132" w:type="dxa"/>
          </w:tcPr>
          <w:p>
            <w:pPr>
              <w:pStyle w:val="TableParagraph"/>
              <w:spacing w:before="0"/>
              <w:rPr>
                <w:rFonts w:ascii="Times New Roman"/>
                <w:sz w:val="14"/>
              </w:rPr>
            </w:pPr>
          </w:p>
        </w:tc>
        <w:tc>
          <w:tcPr>
            <w:tcW w:w="1134" w:type="dxa"/>
          </w:tcPr>
          <w:p>
            <w:pPr>
              <w:pStyle w:val="TableParagraph"/>
              <w:spacing w:before="0"/>
              <w:rPr>
                <w:rFonts w:ascii="Times New Roman"/>
                <w:sz w:val="14"/>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before="0"/>
              <w:rPr>
                <w:rFonts w:ascii="Times New Roman"/>
                <w:sz w:val="16"/>
              </w:rPr>
            </w:pPr>
          </w:p>
        </w:tc>
        <w:tc>
          <w:tcPr>
            <w:tcW w:w="1132" w:type="dxa"/>
          </w:tcPr>
          <w:p>
            <w:pPr>
              <w:pStyle w:val="TableParagraph"/>
              <w:spacing w:line="175" w:lineRule="exact" w:before="30"/>
              <w:ind w:right="54"/>
              <w:jc w:val="right"/>
              <w:rPr>
                <w:sz w:val="16"/>
              </w:rPr>
            </w:pPr>
            <w:r>
              <w:rPr>
                <w:sz w:val="16"/>
              </w:rPr>
              <w:t>163,87</w:t>
            </w:r>
          </w:p>
        </w:tc>
        <w:tc>
          <w:tcPr>
            <w:tcW w:w="1134" w:type="dxa"/>
          </w:tcPr>
          <w:p>
            <w:pPr>
              <w:pStyle w:val="TableParagraph"/>
              <w:spacing w:before="0"/>
              <w:rPr>
                <w:rFonts w:ascii="Times New Roman"/>
                <w:sz w:val="16"/>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line="175" w:lineRule="exact" w:before="30"/>
              <w:ind w:right="57"/>
              <w:jc w:val="right"/>
              <w:rPr>
                <w:sz w:val="16"/>
              </w:rPr>
            </w:pPr>
            <w:r>
              <w:rPr>
                <w:sz w:val="16"/>
              </w:rPr>
              <w:t>8.747,06</w:t>
            </w:r>
          </w:p>
        </w:tc>
        <w:tc>
          <w:tcPr>
            <w:tcW w:w="1132" w:type="dxa"/>
          </w:tcPr>
          <w:p>
            <w:pPr>
              <w:pStyle w:val="TableParagraph"/>
              <w:spacing w:line="175" w:lineRule="exact" w:before="30"/>
              <w:ind w:right="54"/>
              <w:jc w:val="right"/>
              <w:rPr>
                <w:sz w:val="16"/>
              </w:rPr>
            </w:pPr>
            <w:r>
              <w:rPr>
                <w:sz w:val="16"/>
              </w:rPr>
              <w:t>93.444,57</w:t>
            </w:r>
          </w:p>
        </w:tc>
        <w:tc>
          <w:tcPr>
            <w:tcW w:w="1134" w:type="dxa"/>
          </w:tcPr>
          <w:p>
            <w:pPr>
              <w:pStyle w:val="TableParagraph"/>
              <w:spacing w:before="0"/>
              <w:rPr>
                <w:rFonts w:ascii="Times New Roman"/>
                <w:sz w:val="16"/>
              </w:rPr>
            </w:pPr>
          </w:p>
        </w:tc>
      </w:tr>
      <w:tr>
        <w:trPr>
          <w:trHeight w:val="225" w:hRule="atLeast"/>
        </w:trPr>
        <w:tc>
          <w:tcPr>
            <w:tcW w:w="5239" w:type="dxa"/>
            <w:vMerge w:val="restart"/>
            <w:tcBorders>
              <w:bottom w:val="nil"/>
            </w:tcBorders>
          </w:tcPr>
          <w:p>
            <w:pPr>
              <w:pStyle w:val="TableParagraph"/>
              <w:spacing w:line="288" w:lineRule="auto" w:before="30"/>
              <w:ind w:left="69" w:right="96"/>
              <w:rPr>
                <w:sz w:val="16"/>
              </w:rPr>
            </w:pPr>
            <w:r>
              <w:rPr>
                <w:sz w:val="16"/>
              </w:rPr>
              <w:t>E) CORRECCIONES DE VALOR POR DETERIORO, SALDO INICIAL EJERCICIO 2023 (+) Correcciones valorativas por deterioro reconocidas en el período</w:t>
            </w:r>
          </w:p>
          <w:p>
            <w:pPr>
              <w:pStyle w:val="TableParagraph"/>
              <w:spacing w:line="175" w:lineRule="exact" w:before="1"/>
              <w:ind w:left="69"/>
              <w:rPr>
                <w:sz w:val="16"/>
              </w:rPr>
            </w:pPr>
            <w:r>
              <w:rPr>
                <w:sz w:val="16"/>
              </w:rPr>
              <w:t>(-) Revisión de correcciones valorativas por deterioro</w:t>
            </w:r>
          </w:p>
        </w:tc>
        <w:tc>
          <w:tcPr>
            <w:tcW w:w="1154"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1134" w:type="dxa"/>
          </w:tcPr>
          <w:p>
            <w:pPr>
              <w:pStyle w:val="TableParagraph"/>
              <w:spacing w:before="0"/>
              <w:rPr>
                <w:rFonts w:ascii="Times New Roman"/>
                <w:sz w:val="16"/>
              </w:rPr>
            </w:pPr>
          </w:p>
        </w:tc>
      </w:tr>
      <w:tr>
        <w:trPr>
          <w:trHeight w:val="225" w:hRule="atLeast"/>
        </w:trPr>
        <w:tc>
          <w:tcPr>
            <w:tcW w:w="5239" w:type="dxa"/>
            <w:vMerge/>
            <w:tcBorders>
              <w:top w:val="nil"/>
              <w:bottom w:val="nil"/>
            </w:tcBorders>
          </w:tcPr>
          <w:p>
            <w:pPr>
              <w:rPr>
                <w:sz w:val="2"/>
                <w:szCs w:val="2"/>
              </w:rPr>
            </w:pPr>
          </w:p>
        </w:tc>
        <w:tc>
          <w:tcPr>
            <w:tcW w:w="1154"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1134" w:type="dxa"/>
          </w:tcPr>
          <w:p>
            <w:pPr>
              <w:pStyle w:val="TableParagraph"/>
              <w:spacing w:before="0"/>
              <w:rPr>
                <w:rFonts w:ascii="Times New Roman"/>
                <w:sz w:val="16"/>
              </w:rPr>
            </w:pPr>
          </w:p>
        </w:tc>
      </w:tr>
      <w:tr>
        <w:trPr>
          <w:trHeight w:val="225" w:hRule="atLeast"/>
        </w:trPr>
        <w:tc>
          <w:tcPr>
            <w:tcW w:w="5239" w:type="dxa"/>
            <w:vMerge/>
            <w:tcBorders>
              <w:top w:val="nil"/>
              <w:bottom w:val="nil"/>
            </w:tcBorders>
          </w:tcPr>
          <w:p>
            <w:pPr>
              <w:rPr>
                <w:sz w:val="2"/>
                <w:szCs w:val="2"/>
              </w:rPr>
            </w:pPr>
          </w:p>
        </w:tc>
        <w:tc>
          <w:tcPr>
            <w:tcW w:w="1154"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1134" w:type="dxa"/>
          </w:tcPr>
          <w:p>
            <w:pPr>
              <w:pStyle w:val="TableParagraph"/>
              <w:spacing w:before="0"/>
              <w:rPr>
                <w:rFonts w:ascii="Times New Roman"/>
                <w:sz w:val="16"/>
              </w:rPr>
            </w:pPr>
          </w:p>
        </w:tc>
      </w:tr>
    </w:tbl>
    <w:p>
      <w:pPr>
        <w:spacing w:after="0"/>
        <w:rPr>
          <w:rFonts w:ascii="Times New Roman"/>
          <w:sz w:val="16"/>
        </w:rPr>
        <w:sectPr>
          <w:pgSz w:w="11900" w:h="16840"/>
          <w:pgMar w:header="739" w:footer="767" w:top="1600" w:bottom="960" w:left="1580" w:right="660"/>
        </w:sectPr>
      </w:pPr>
    </w:p>
    <w:p>
      <w:pPr>
        <w:pStyle w:val="BodyText"/>
        <w:spacing w:before="8"/>
        <w:rPr>
          <w:b/>
          <w:sz w:val="22"/>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39"/>
        <w:gridCol w:w="1154"/>
        <w:gridCol w:w="1132"/>
        <w:gridCol w:w="1134"/>
      </w:tblGrid>
      <w:tr>
        <w:trPr>
          <w:trHeight w:val="223" w:hRule="atLeast"/>
        </w:trPr>
        <w:tc>
          <w:tcPr>
            <w:tcW w:w="5239" w:type="dxa"/>
            <w:vMerge w:val="restart"/>
            <w:tcBorders>
              <w:top w:val="nil"/>
            </w:tcBorders>
          </w:tcPr>
          <w:p>
            <w:pPr>
              <w:pStyle w:val="TableParagraph"/>
              <w:spacing w:before="27"/>
              <w:ind w:left="69"/>
              <w:rPr>
                <w:sz w:val="16"/>
              </w:rPr>
            </w:pPr>
            <w:r>
              <w:rPr>
                <w:sz w:val="16"/>
              </w:rPr>
              <w:t>(-) Disminuciones por salidas, bajas o traspasos</w:t>
            </w:r>
          </w:p>
          <w:p>
            <w:pPr>
              <w:pStyle w:val="TableParagraph"/>
              <w:spacing w:line="175" w:lineRule="exact" w:before="40"/>
              <w:ind w:left="69"/>
              <w:rPr>
                <w:sz w:val="16"/>
              </w:rPr>
            </w:pPr>
            <w:r>
              <w:rPr>
                <w:sz w:val="16"/>
              </w:rPr>
              <w:t>F) CORRECCIONES DE VALOR POR DETERIORO, SALDO FINAL EJERCICIO 2023</w:t>
            </w:r>
          </w:p>
        </w:tc>
        <w:tc>
          <w:tcPr>
            <w:tcW w:w="1154" w:type="dxa"/>
            <w:tcBorders>
              <w:top w:val="nil"/>
            </w:tcBorders>
          </w:tcPr>
          <w:p>
            <w:pPr>
              <w:pStyle w:val="TableParagraph"/>
              <w:spacing w:before="0"/>
              <w:rPr>
                <w:rFonts w:ascii="Times New Roman"/>
                <w:sz w:val="14"/>
              </w:rPr>
            </w:pPr>
          </w:p>
        </w:tc>
        <w:tc>
          <w:tcPr>
            <w:tcW w:w="1132" w:type="dxa"/>
            <w:tcBorders>
              <w:top w:val="nil"/>
            </w:tcBorders>
          </w:tcPr>
          <w:p>
            <w:pPr>
              <w:pStyle w:val="TableParagraph"/>
              <w:spacing w:before="0"/>
              <w:rPr>
                <w:rFonts w:ascii="Times New Roman"/>
                <w:sz w:val="14"/>
              </w:rPr>
            </w:pPr>
          </w:p>
        </w:tc>
        <w:tc>
          <w:tcPr>
            <w:tcW w:w="1134" w:type="dxa"/>
            <w:tcBorders>
              <w:top w:val="nil"/>
            </w:tcBorders>
          </w:tcPr>
          <w:p>
            <w:pPr>
              <w:pStyle w:val="TableParagraph"/>
              <w:spacing w:before="0"/>
              <w:rPr>
                <w:rFonts w:ascii="Times New Roman"/>
                <w:sz w:val="14"/>
              </w:rPr>
            </w:pPr>
          </w:p>
        </w:tc>
      </w:tr>
      <w:tr>
        <w:trPr>
          <w:trHeight w:val="225" w:hRule="atLeast"/>
        </w:trPr>
        <w:tc>
          <w:tcPr>
            <w:tcW w:w="5239" w:type="dxa"/>
            <w:vMerge/>
            <w:tcBorders>
              <w:top w:val="nil"/>
            </w:tcBorders>
          </w:tcPr>
          <w:p>
            <w:pPr>
              <w:rPr>
                <w:sz w:val="2"/>
                <w:szCs w:val="2"/>
              </w:rPr>
            </w:pPr>
          </w:p>
        </w:tc>
        <w:tc>
          <w:tcPr>
            <w:tcW w:w="1154"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1134" w:type="dxa"/>
          </w:tcPr>
          <w:p>
            <w:pPr>
              <w:pStyle w:val="TableParagraph"/>
              <w:spacing w:before="0"/>
              <w:rPr>
                <w:rFonts w:ascii="Times New Roman"/>
                <w:sz w:val="16"/>
              </w:rPr>
            </w:pPr>
          </w:p>
        </w:tc>
      </w:tr>
      <w:tr>
        <w:trPr>
          <w:trHeight w:val="225" w:hRule="atLeast"/>
        </w:trPr>
        <w:tc>
          <w:tcPr>
            <w:tcW w:w="5239" w:type="dxa"/>
          </w:tcPr>
          <w:p>
            <w:pPr>
              <w:pStyle w:val="TableParagraph"/>
              <w:spacing w:line="175" w:lineRule="exact" w:before="30"/>
              <w:ind w:left="69"/>
              <w:rPr>
                <w:sz w:val="16"/>
              </w:rPr>
            </w:pPr>
            <w:r>
              <w:rPr>
                <w:sz w:val="16"/>
              </w:rPr>
              <w:t>G) VALOR NETO CONTABLE FINAL DEL EJERCICIO 2023</w:t>
            </w:r>
          </w:p>
        </w:tc>
        <w:tc>
          <w:tcPr>
            <w:tcW w:w="1154" w:type="dxa"/>
          </w:tcPr>
          <w:p>
            <w:pPr>
              <w:pStyle w:val="TableParagraph"/>
              <w:spacing w:line="175" w:lineRule="exact" w:before="30"/>
              <w:ind w:left="516"/>
              <w:rPr>
                <w:sz w:val="16"/>
              </w:rPr>
            </w:pPr>
            <w:r>
              <w:rPr>
                <w:sz w:val="16"/>
              </w:rPr>
              <w:t>1.670,10</w:t>
            </w:r>
          </w:p>
        </w:tc>
        <w:tc>
          <w:tcPr>
            <w:tcW w:w="1132" w:type="dxa"/>
          </w:tcPr>
          <w:p>
            <w:pPr>
              <w:pStyle w:val="TableParagraph"/>
              <w:spacing w:line="175" w:lineRule="exact" w:before="30"/>
              <w:ind w:left="415"/>
              <w:rPr>
                <w:sz w:val="16"/>
              </w:rPr>
            </w:pPr>
            <w:r>
              <w:rPr>
                <w:sz w:val="16"/>
              </w:rPr>
              <w:t>28.979,60</w:t>
            </w:r>
          </w:p>
        </w:tc>
        <w:tc>
          <w:tcPr>
            <w:tcW w:w="1134" w:type="dxa"/>
          </w:tcPr>
          <w:p>
            <w:pPr>
              <w:pStyle w:val="TableParagraph"/>
              <w:spacing w:before="0"/>
              <w:rPr>
                <w:rFonts w:ascii="Times New Roman"/>
                <w:sz w:val="16"/>
              </w:rPr>
            </w:pPr>
          </w:p>
        </w:tc>
      </w:tr>
    </w:tbl>
    <w:p>
      <w:pPr>
        <w:pStyle w:val="BodyText"/>
        <w:rPr>
          <w:b/>
          <w:sz w:val="20"/>
        </w:rPr>
      </w:pPr>
    </w:p>
    <w:p>
      <w:pPr>
        <w:pStyle w:val="BodyText"/>
        <w:rPr>
          <w:b/>
          <w:sz w:val="20"/>
        </w:rPr>
      </w:pPr>
    </w:p>
    <w:p>
      <w:pPr>
        <w:pStyle w:val="BodyText"/>
        <w:spacing w:before="4"/>
        <w:rPr>
          <w:b/>
          <w:sz w:val="15"/>
        </w:rPr>
      </w:pPr>
    </w:p>
    <w:p>
      <w:pPr>
        <w:pStyle w:val="BodyText"/>
        <w:spacing w:line="482" w:lineRule="auto"/>
        <w:ind w:left="121" w:right="1213"/>
        <w:jc w:val="both"/>
      </w:pPr>
      <w:r>
        <w:rPr/>
        <w:t>La Fundación no tiene inversiones inmobiliarias, locales ni otros activos inmobiliarios arrendados a terceros. La Fundación no tiene bienes en régimen de arrendamiento financiero.</w:t>
      </w:r>
    </w:p>
    <w:p>
      <w:pPr>
        <w:pStyle w:val="BodyText"/>
        <w:spacing w:line="273" w:lineRule="auto" w:before="4"/>
        <w:ind w:left="121" w:right="1031"/>
        <w:jc w:val="both"/>
      </w:pPr>
      <w:r>
        <w:rPr/>
        <w:t>Las inversiones realizadas en el ejercicio 2024 corresponden a inmovilizado materia; otras instalaciones, mobiliario y otro inmovilizado material. La Fundación ha realizado inversiones en el inmovilizado material, en el ejercicio 2023, en otro inmovilizado material.</w:t>
      </w:r>
    </w:p>
    <w:p>
      <w:pPr>
        <w:pStyle w:val="BodyText"/>
        <w:spacing w:before="10"/>
        <w:rPr>
          <w:sz w:val="16"/>
        </w:rPr>
      </w:pPr>
    </w:p>
    <w:p>
      <w:pPr>
        <w:pStyle w:val="BodyText"/>
        <w:spacing w:line="276" w:lineRule="auto"/>
        <w:ind w:left="121" w:right="1030"/>
        <w:jc w:val="both"/>
      </w:pPr>
      <w:r>
        <w:rPr/>
        <w:t>A la Fundación le han cedidos los inmuebles en los que realiza su actividad fundacional. El inmueble en el municipio de Icod de los Vinos es propiedad del Ayuntamiento de Icod de Los Vinos. Por otro lado, el inmueble en el municipio de Los Realejos está en proceso de formalizar y ratificar su propiedad por parte del Ayuntamiento de Los</w:t>
      </w:r>
      <w:r>
        <w:rPr>
          <w:spacing w:val="-3"/>
        </w:rPr>
        <w:t> </w:t>
      </w:r>
      <w:r>
        <w:rPr/>
        <w:t>Realejos.</w:t>
      </w:r>
    </w:p>
    <w:p>
      <w:pPr>
        <w:pStyle w:val="BodyText"/>
        <w:spacing w:before="3"/>
        <w:rPr>
          <w:sz w:val="16"/>
        </w:rPr>
      </w:pPr>
    </w:p>
    <w:p>
      <w:pPr>
        <w:pStyle w:val="Heading1"/>
        <w:numPr>
          <w:ilvl w:val="0"/>
          <w:numId w:val="12"/>
        </w:numPr>
        <w:tabs>
          <w:tab w:pos="400" w:val="left" w:leader="none"/>
        </w:tabs>
        <w:spacing w:line="240" w:lineRule="auto" w:before="0" w:after="0"/>
        <w:ind w:left="400" w:right="0" w:hanging="279"/>
        <w:jc w:val="left"/>
      </w:pPr>
      <w:r>
        <w:rPr/>
        <w:t>BIENES INTEGRANTES DEL PATRIMONIO</w:t>
      </w:r>
      <w:r>
        <w:rPr>
          <w:spacing w:val="-7"/>
        </w:rPr>
        <w:t> </w:t>
      </w:r>
      <w:r>
        <w:rPr/>
        <w:t>HISTORICO.</w:t>
      </w:r>
    </w:p>
    <w:p>
      <w:pPr>
        <w:pStyle w:val="BodyText"/>
        <w:spacing w:before="250"/>
        <w:ind w:left="121"/>
      </w:pPr>
      <w:r>
        <w:rPr/>
        <w:t>La Fundación no posee bienes integrantes del Patrimonio Histórico.</w:t>
      </w:r>
    </w:p>
    <w:p>
      <w:pPr>
        <w:pStyle w:val="BodyText"/>
        <w:rPr>
          <w:sz w:val="18"/>
        </w:rPr>
      </w:pPr>
    </w:p>
    <w:p>
      <w:pPr>
        <w:pStyle w:val="BodyText"/>
        <w:rPr>
          <w:sz w:val="18"/>
        </w:rPr>
      </w:pPr>
    </w:p>
    <w:p>
      <w:pPr>
        <w:pStyle w:val="BodyText"/>
        <w:spacing w:before="7"/>
        <w:rPr>
          <w:sz w:val="21"/>
        </w:rPr>
      </w:pPr>
    </w:p>
    <w:p>
      <w:pPr>
        <w:pStyle w:val="Heading1"/>
        <w:numPr>
          <w:ilvl w:val="0"/>
          <w:numId w:val="12"/>
        </w:numPr>
        <w:tabs>
          <w:tab w:pos="401" w:val="left" w:leader="none"/>
        </w:tabs>
        <w:spacing w:line="240" w:lineRule="auto" w:before="0" w:after="0"/>
        <w:ind w:left="400" w:right="0" w:hanging="280"/>
        <w:jc w:val="left"/>
      </w:pPr>
      <w:r>
        <w:rPr/>
        <w:t>USUARIOS Y OTROS DEUDORES DE ACTIVIDAD</w:t>
      </w:r>
      <w:r>
        <w:rPr>
          <w:spacing w:val="-10"/>
        </w:rPr>
        <w:t> </w:t>
      </w:r>
      <w:r>
        <w:rPr/>
        <w:t>PROPIA.</w:t>
      </w:r>
    </w:p>
    <w:p>
      <w:pPr>
        <w:pStyle w:val="BodyText"/>
        <w:spacing w:before="250"/>
        <w:ind w:left="121"/>
      </w:pPr>
      <w:r>
        <w:rPr/>
        <w:t>El análisis del movimiento de la partida durante el ejercicio ha sido el siguiente:</w:t>
      </w:r>
    </w:p>
    <w:p>
      <w:pPr>
        <w:pStyle w:val="BodyText"/>
        <w:rPr>
          <w:sz w:val="20"/>
        </w:rPr>
      </w:pPr>
    </w:p>
    <w:p>
      <w:pPr>
        <w:pStyle w:val="BodyText"/>
        <w:rPr>
          <w:sz w:val="12"/>
        </w:rPr>
      </w:pPr>
    </w:p>
    <w:tbl>
      <w:tblPr>
        <w:tblW w:w="0" w:type="auto"/>
        <w:jc w:val="left"/>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4"/>
        <w:gridCol w:w="2126"/>
        <w:gridCol w:w="2126"/>
      </w:tblGrid>
      <w:tr>
        <w:trPr>
          <w:trHeight w:val="302" w:hRule="atLeast"/>
        </w:trPr>
        <w:tc>
          <w:tcPr>
            <w:tcW w:w="3684" w:type="dxa"/>
          </w:tcPr>
          <w:p>
            <w:pPr>
              <w:pStyle w:val="TableParagraph"/>
              <w:spacing w:line="175" w:lineRule="exact" w:before="106"/>
              <w:ind w:left="69"/>
              <w:rPr>
                <w:sz w:val="16"/>
              </w:rPr>
            </w:pPr>
            <w:r>
              <w:rPr>
                <w:sz w:val="16"/>
              </w:rPr>
              <w:t>Usuarios y otros deudores de la actividad propia</w:t>
            </w:r>
          </w:p>
        </w:tc>
        <w:tc>
          <w:tcPr>
            <w:tcW w:w="2126" w:type="dxa"/>
          </w:tcPr>
          <w:p>
            <w:pPr>
              <w:pStyle w:val="TableParagraph"/>
              <w:spacing w:line="175" w:lineRule="exact" w:before="106"/>
              <w:ind w:left="779" w:right="770"/>
              <w:jc w:val="center"/>
              <w:rPr>
                <w:sz w:val="16"/>
              </w:rPr>
            </w:pPr>
            <w:r>
              <w:rPr>
                <w:sz w:val="16"/>
              </w:rPr>
              <w:t>2024</w:t>
            </w:r>
          </w:p>
        </w:tc>
        <w:tc>
          <w:tcPr>
            <w:tcW w:w="2126" w:type="dxa"/>
          </w:tcPr>
          <w:p>
            <w:pPr>
              <w:pStyle w:val="TableParagraph"/>
              <w:spacing w:line="175" w:lineRule="exact" w:before="106"/>
              <w:ind w:left="779" w:right="769"/>
              <w:jc w:val="center"/>
              <w:rPr>
                <w:sz w:val="16"/>
              </w:rPr>
            </w:pPr>
            <w:r>
              <w:rPr>
                <w:sz w:val="16"/>
              </w:rPr>
              <w:t>2023</w:t>
            </w:r>
          </w:p>
        </w:tc>
      </w:tr>
      <w:tr>
        <w:trPr>
          <w:trHeight w:val="225" w:hRule="atLeast"/>
        </w:trPr>
        <w:tc>
          <w:tcPr>
            <w:tcW w:w="3684" w:type="dxa"/>
            <w:tcBorders>
              <w:bottom w:val="nil"/>
            </w:tcBorders>
          </w:tcPr>
          <w:p>
            <w:pPr>
              <w:pStyle w:val="TableParagraph"/>
              <w:spacing w:before="0"/>
              <w:rPr>
                <w:rFonts w:ascii="Times New Roman"/>
                <w:sz w:val="16"/>
              </w:rPr>
            </w:pPr>
          </w:p>
        </w:tc>
        <w:tc>
          <w:tcPr>
            <w:tcW w:w="2126" w:type="dxa"/>
          </w:tcPr>
          <w:p>
            <w:pPr>
              <w:pStyle w:val="TableParagraph"/>
              <w:spacing w:line="175" w:lineRule="exact" w:before="30"/>
              <w:ind w:left="778" w:right="770"/>
              <w:jc w:val="center"/>
              <w:rPr>
                <w:sz w:val="16"/>
              </w:rPr>
            </w:pPr>
            <w:r>
              <w:rPr>
                <w:sz w:val="16"/>
              </w:rPr>
              <w:t>Importe</w:t>
            </w:r>
          </w:p>
        </w:tc>
        <w:tc>
          <w:tcPr>
            <w:tcW w:w="2126" w:type="dxa"/>
          </w:tcPr>
          <w:p>
            <w:pPr>
              <w:pStyle w:val="TableParagraph"/>
              <w:spacing w:line="175" w:lineRule="exact" w:before="30"/>
              <w:ind w:left="779" w:right="770"/>
              <w:jc w:val="center"/>
              <w:rPr>
                <w:sz w:val="16"/>
              </w:rPr>
            </w:pPr>
            <w:r>
              <w:rPr>
                <w:sz w:val="16"/>
              </w:rPr>
              <w:t>Importe</w:t>
            </w:r>
          </w:p>
        </w:tc>
      </w:tr>
      <w:tr>
        <w:trPr>
          <w:trHeight w:val="225" w:hRule="atLeast"/>
        </w:trPr>
        <w:tc>
          <w:tcPr>
            <w:tcW w:w="3684" w:type="dxa"/>
            <w:tcBorders>
              <w:top w:val="nil"/>
              <w:bottom w:val="nil"/>
            </w:tcBorders>
          </w:tcPr>
          <w:p>
            <w:pPr>
              <w:pStyle w:val="TableParagraph"/>
              <w:spacing w:line="175" w:lineRule="exact" w:before="30"/>
              <w:ind w:left="69"/>
              <w:rPr>
                <w:sz w:val="16"/>
              </w:rPr>
            </w:pPr>
            <w:r>
              <w:rPr>
                <w:sz w:val="16"/>
              </w:rPr>
              <w:t>Saldo inicial,</w:t>
            </w:r>
          </w:p>
        </w:tc>
        <w:tc>
          <w:tcPr>
            <w:tcW w:w="2126" w:type="dxa"/>
          </w:tcPr>
          <w:p>
            <w:pPr>
              <w:pStyle w:val="TableParagraph"/>
              <w:spacing w:line="175" w:lineRule="exact" w:before="30"/>
              <w:ind w:right="55"/>
              <w:jc w:val="right"/>
              <w:rPr>
                <w:sz w:val="16"/>
              </w:rPr>
            </w:pPr>
            <w:r>
              <w:rPr>
                <w:sz w:val="16"/>
              </w:rPr>
              <w:t>67.963,41</w:t>
            </w:r>
          </w:p>
        </w:tc>
        <w:tc>
          <w:tcPr>
            <w:tcW w:w="2126" w:type="dxa"/>
          </w:tcPr>
          <w:p>
            <w:pPr>
              <w:pStyle w:val="TableParagraph"/>
              <w:spacing w:line="175" w:lineRule="exact" w:before="30"/>
              <w:ind w:right="54"/>
              <w:jc w:val="right"/>
              <w:rPr>
                <w:sz w:val="16"/>
              </w:rPr>
            </w:pPr>
            <w:r>
              <w:rPr>
                <w:sz w:val="16"/>
              </w:rPr>
              <w:t>33.711,24</w:t>
            </w:r>
          </w:p>
        </w:tc>
      </w:tr>
      <w:tr>
        <w:trPr>
          <w:trHeight w:val="225" w:hRule="atLeast"/>
        </w:trPr>
        <w:tc>
          <w:tcPr>
            <w:tcW w:w="3684" w:type="dxa"/>
            <w:tcBorders>
              <w:top w:val="nil"/>
              <w:bottom w:val="nil"/>
            </w:tcBorders>
          </w:tcPr>
          <w:p>
            <w:pPr>
              <w:pStyle w:val="TableParagraph"/>
              <w:spacing w:line="175" w:lineRule="exact" w:before="30"/>
              <w:ind w:left="69"/>
              <w:rPr>
                <w:sz w:val="16"/>
              </w:rPr>
            </w:pPr>
            <w:r>
              <w:rPr>
                <w:sz w:val="16"/>
              </w:rPr>
              <w:t>Aumentos</w:t>
            </w:r>
          </w:p>
        </w:tc>
        <w:tc>
          <w:tcPr>
            <w:tcW w:w="2126" w:type="dxa"/>
          </w:tcPr>
          <w:p>
            <w:pPr>
              <w:pStyle w:val="TableParagraph"/>
              <w:spacing w:line="175" w:lineRule="exact" w:before="30"/>
              <w:ind w:right="55"/>
              <w:jc w:val="right"/>
              <w:rPr>
                <w:sz w:val="16"/>
              </w:rPr>
            </w:pPr>
            <w:r>
              <w:rPr>
                <w:sz w:val="16"/>
              </w:rPr>
              <w:t>451.314,35</w:t>
            </w:r>
          </w:p>
        </w:tc>
        <w:tc>
          <w:tcPr>
            <w:tcW w:w="2126" w:type="dxa"/>
          </w:tcPr>
          <w:p>
            <w:pPr>
              <w:pStyle w:val="TableParagraph"/>
              <w:spacing w:line="175" w:lineRule="exact" w:before="30"/>
              <w:ind w:right="54"/>
              <w:jc w:val="right"/>
              <w:rPr>
                <w:sz w:val="16"/>
              </w:rPr>
            </w:pPr>
            <w:r>
              <w:rPr>
                <w:sz w:val="16"/>
              </w:rPr>
              <w:t>371.577,36</w:t>
            </w:r>
          </w:p>
        </w:tc>
      </w:tr>
      <w:tr>
        <w:trPr>
          <w:trHeight w:val="225" w:hRule="atLeast"/>
        </w:trPr>
        <w:tc>
          <w:tcPr>
            <w:tcW w:w="3684" w:type="dxa"/>
            <w:tcBorders>
              <w:top w:val="nil"/>
              <w:bottom w:val="nil"/>
            </w:tcBorders>
          </w:tcPr>
          <w:p>
            <w:pPr>
              <w:pStyle w:val="TableParagraph"/>
              <w:spacing w:line="175" w:lineRule="exact" w:before="30"/>
              <w:ind w:left="69"/>
              <w:rPr>
                <w:sz w:val="16"/>
              </w:rPr>
            </w:pPr>
            <w:r>
              <w:rPr>
                <w:sz w:val="16"/>
              </w:rPr>
              <w:t>Disminuciones</w:t>
            </w:r>
          </w:p>
        </w:tc>
        <w:tc>
          <w:tcPr>
            <w:tcW w:w="2126" w:type="dxa"/>
          </w:tcPr>
          <w:p>
            <w:pPr>
              <w:pStyle w:val="TableParagraph"/>
              <w:spacing w:line="175" w:lineRule="exact" w:before="30"/>
              <w:ind w:right="55"/>
              <w:jc w:val="right"/>
              <w:rPr>
                <w:sz w:val="16"/>
              </w:rPr>
            </w:pPr>
            <w:r>
              <w:rPr>
                <w:sz w:val="16"/>
              </w:rPr>
              <w:t>384.621,31</w:t>
            </w:r>
          </w:p>
        </w:tc>
        <w:tc>
          <w:tcPr>
            <w:tcW w:w="2126" w:type="dxa"/>
          </w:tcPr>
          <w:p>
            <w:pPr>
              <w:pStyle w:val="TableParagraph"/>
              <w:spacing w:line="175" w:lineRule="exact" w:before="30"/>
              <w:ind w:right="54"/>
              <w:jc w:val="right"/>
              <w:rPr>
                <w:sz w:val="16"/>
              </w:rPr>
            </w:pPr>
            <w:r>
              <w:rPr>
                <w:sz w:val="16"/>
              </w:rPr>
              <w:t>337.325,19</w:t>
            </w:r>
          </w:p>
        </w:tc>
      </w:tr>
      <w:tr>
        <w:trPr>
          <w:trHeight w:val="225" w:hRule="atLeast"/>
        </w:trPr>
        <w:tc>
          <w:tcPr>
            <w:tcW w:w="3684" w:type="dxa"/>
            <w:tcBorders>
              <w:top w:val="nil"/>
            </w:tcBorders>
          </w:tcPr>
          <w:p>
            <w:pPr>
              <w:pStyle w:val="TableParagraph"/>
              <w:spacing w:line="175" w:lineRule="exact" w:before="30"/>
              <w:ind w:left="69"/>
              <w:rPr>
                <w:sz w:val="16"/>
              </w:rPr>
            </w:pPr>
            <w:r>
              <w:rPr>
                <w:sz w:val="16"/>
              </w:rPr>
              <w:t>Saldo final,</w:t>
            </w:r>
          </w:p>
        </w:tc>
        <w:tc>
          <w:tcPr>
            <w:tcW w:w="2126" w:type="dxa"/>
          </w:tcPr>
          <w:p>
            <w:pPr>
              <w:pStyle w:val="TableParagraph"/>
              <w:spacing w:line="175" w:lineRule="exact" w:before="30"/>
              <w:ind w:right="55"/>
              <w:jc w:val="right"/>
              <w:rPr>
                <w:sz w:val="16"/>
              </w:rPr>
            </w:pPr>
            <w:r>
              <w:rPr>
                <w:sz w:val="16"/>
              </w:rPr>
              <w:t>134.656,45</w:t>
            </w:r>
          </w:p>
        </w:tc>
        <w:tc>
          <w:tcPr>
            <w:tcW w:w="2126" w:type="dxa"/>
          </w:tcPr>
          <w:p>
            <w:pPr>
              <w:pStyle w:val="TableParagraph"/>
              <w:spacing w:line="175" w:lineRule="exact" w:before="30"/>
              <w:ind w:right="54"/>
              <w:jc w:val="right"/>
              <w:rPr>
                <w:sz w:val="16"/>
              </w:rPr>
            </w:pPr>
            <w:r>
              <w:rPr>
                <w:sz w:val="16"/>
              </w:rPr>
              <w:t>67.963,41</w:t>
            </w:r>
          </w:p>
        </w:tc>
      </w:tr>
    </w:tbl>
    <w:p>
      <w:pPr>
        <w:pStyle w:val="BodyText"/>
        <w:rPr>
          <w:sz w:val="18"/>
        </w:rPr>
      </w:pPr>
    </w:p>
    <w:p>
      <w:pPr>
        <w:pStyle w:val="BodyText"/>
        <w:spacing w:before="5"/>
        <w:rPr>
          <w:sz w:val="20"/>
        </w:rPr>
      </w:pPr>
    </w:p>
    <w:p>
      <w:pPr>
        <w:pStyle w:val="BodyText"/>
        <w:spacing w:line="276" w:lineRule="auto"/>
        <w:ind w:left="121" w:right="1030"/>
        <w:jc w:val="both"/>
      </w:pPr>
      <w:r>
        <w:rPr/>
        <w:t>Los movimientos más significativos registrados en el ejercicio 2024 en estas cuentas que proceden de operaciones con Fundaciones del grupo, multigrupo o asociadas corresponden a las subvenciones concedidas por los fundadores de la Fundación: el Ayuntamiento de Los Realejos ha concedido la cantidad de 159.564,55 euros y el Ayuntamientos de Icod de Los Vinos la cantidad de 76.951,36</w:t>
      </w:r>
      <w:r>
        <w:rPr>
          <w:spacing w:val="-10"/>
        </w:rPr>
        <w:t> </w:t>
      </w:r>
      <w:r>
        <w:rPr/>
        <w:t>euros.</w:t>
      </w:r>
    </w:p>
    <w:p>
      <w:pPr>
        <w:pStyle w:val="BodyText"/>
        <w:spacing w:before="5"/>
        <w:rPr>
          <w:sz w:val="16"/>
        </w:rPr>
      </w:pPr>
    </w:p>
    <w:p>
      <w:pPr>
        <w:pStyle w:val="BodyText"/>
        <w:spacing w:line="276" w:lineRule="auto"/>
        <w:ind w:left="121" w:right="1030"/>
        <w:jc w:val="both"/>
      </w:pPr>
      <w:r>
        <w:rPr/>
        <w:t>Los movimientos más significativos registrados en el ejercicio 2023 en estas cuentas que proceden de operaciones con Fundaciones del grupo, multigrupo o asociadas corresponden a las subvenciones concedidas por los fundadores de la Fundación: el Ayuntamiento de Los Realejos ha concedido la cantidad de 145.951,63 euros y el Ayuntamientos de Icod de Los Vinos la cantidad de 67.876,08</w:t>
      </w:r>
      <w:r>
        <w:rPr>
          <w:spacing w:val="-10"/>
        </w:rPr>
        <w:t> </w:t>
      </w:r>
      <w:r>
        <w:rPr/>
        <w:t>euros.</w:t>
      </w:r>
    </w:p>
    <w:p>
      <w:pPr>
        <w:pStyle w:val="BodyText"/>
        <w:rPr>
          <w:sz w:val="18"/>
        </w:rPr>
      </w:pPr>
    </w:p>
    <w:p>
      <w:pPr>
        <w:pStyle w:val="BodyText"/>
        <w:rPr>
          <w:sz w:val="18"/>
        </w:rPr>
      </w:pPr>
    </w:p>
    <w:p>
      <w:pPr>
        <w:pStyle w:val="BodyText"/>
        <w:spacing w:before="5"/>
        <w:rPr>
          <w:sz w:val="18"/>
        </w:rPr>
      </w:pPr>
    </w:p>
    <w:p>
      <w:pPr>
        <w:pStyle w:val="Heading1"/>
        <w:numPr>
          <w:ilvl w:val="0"/>
          <w:numId w:val="12"/>
        </w:numPr>
        <w:tabs>
          <w:tab w:pos="401" w:val="left" w:leader="none"/>
        </w:tabs>
        <w:spacing w:line="240" w:lineRule="auto" w:before="0" w:after="0"/>
        <w:ind w:left="400" w:right="0" w:hanging="280"/>
        <w:jc w:val="left"/>
      </w:pPr>
      <w:r>
        <w:rPr/>
        <w:t>BENEFICIARIOS-ACREEDORES.</w:t>
      </w:r>
    </w:p>
    <w:p>
      <w:pPr>
        <w:pStyle w:val="BodyText"/>
        <w:spacing w:before="251"/>
        <w:ind w:left="121"/>
      </w:pPr>
      <w:r>
        <w:rPr/>
        <w:t>El análisis del movimiento de la partida ha sido el siguiente:</w:t>
      </w:r>
    </w:p>
    <w:p>
      <w:pPr>
        <w:spacing w:after="0"/>
        <w:sectPr>
          <w:pgSz w:w="11900" w:h="16840"/>
          <w:pgMar w:header="739" w:footer="767" w:top="1600" w:bottom="960" w:left="1580" w:right="660"/>
        </w:sectPr>
      </w:pPr>
    </w:p>
    <w:p>
      <w:pPr>
        <w:pStyle w:val="BodyText"/>
        <w:rPr>
          <w:sz w:val="20"/>
        </w:rPr>
      </w:pPr>
    </w:p>
    <w:p>
      <w:pPr>
        <w:pStyle w:val="BodyText"/>
        <w:rPr>
          <w:sz w:val="20"/>
        </w:rPr>
      </w:pPr>
    </w:p>
    <w:p>
      <w:pPr>
        <w:pStyle w:val="BodyText"/>
        <w:spacing w:before="8"/>
        <w:rPr>
          <w:sz w:val="17"/>
        </w:rPr>
      </w:pPr>
    </w:p>
    <w:tbl>
      <w:tblPr>
        <w:tblW w:w="0" w:type="auto"/>
        <w:jc w:val="left"/>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4"/>
        <w:gridCol w:w="2126"/>
        <w:gridCol w:w="2126"/>
      </w:tblGrid>
      <w:tr>
        <w:trPr>
          <w:trHeight w:val="225" w:hRule="atLeast"/>
        </w:trPr>
        <w:tc>
          <w:tcPr>
            <w:tcW w:w="3684" w:type="dxa"/>
          </w:tcPr>
          <w:p>
            <w:pPr>
              <w:pStyle w:val="TableParagraph"/>
              <w:spacing w:line="175" w:lineRule="exact" w:before="30"/>
              <w:ind w:left="69"/>
              <w:rPr>
                <w:sz w:val="16"/>
              </w:rPr>
            </w:pPr>
            <w:r>
              <w:rPr>
                <w:sz w:val="16"/>
              </w:rPr>
              <w:t>Beneficiarios-acreedores</w:t>
            </w:r>
          </w:p>
        </w:tc>
        <w:tc>
          <w:tcPr>
            <w:tcW w:w="2126" w:type="dxa"/>
          </w:tcPr>
          <w:p>
            <w:pPr>
              <w:pStyle w:val="TableParagraph"/>
              <w:spacing w:line="175" w:lineRule="exact" w:before="30"/>
              <w:ind w:left="779" w:right="770"/>
              <w:jc w:val="center"/>
              <w:rPr>
                <w:sz w:val="16"/>
              </w:rPr>
            </w:pPr>
            <w:r>
              <w:rPr>
                <w:sz w:val="16"/>
              </w:rPr>
              <w:t>2024</w:t>
            </w:r>
          </w:p>
        </w:tc>
        <w:tc>
          <w:tcPr>
            <w:tcW w:w="2126" w:type="dxa"/>
          </w:tcPr>
          <w:p>
            <w:pPr>
              <w:pStyle w:val="TableParagraph"/>
              <w:spacing w:line="175" w:lineRule="exact" w:before="30"/>
              <w:ind w:left="779" w:right="769"/>
              <w:jc w:val="center"/>
              <w:rPr>
                <w:sz w:val="16"/>
              </w:rPr>
            </w:pPr>
            <w:r>
              <w:rPr>
                <w:sz w:val="16"/>
              </w:rPr>
              <w:t>2023</w:t>
            </w:r>
          </w:p>
        </w:tc>
      </w:tr>
      <w:tr>
        <w:trPr>
          <w:trHeight w:val="225" w:hRule="atLeast"/>
        </w:trPr>
        <w:tc>
          <w:tcPr>
            <w:tcW w:w="3684" w:type="dxa"/>
            <w:tcBorders>
              <w:bottom w:val="nil"/>
            </w:tcBorders>
          </w:tcPr>
          <w:p>
            <w:pPr>
              <w:pStyle w:val="TableParagraph"/>
              <w:spacing w:before="0"/>
              <w:rPr>
                <w:rFonts w:ascii="Times New Roman"/>
                <w:sz w:val="16"/>
              </w:rPr>
            </w:pPr>
          </w:p>
        </w:tc>
        <w:tc>
          <w:tcPr>
            <w:tcW w:w="2126" w:type="dxa"/>
          </w:tcPr>
          <w:p>
            <w:pPr>
              <w:pStyle w:val="TableParagraph"/>
              <w:spacing w:line="175" w:lineRule="exact" w:before="30"/>
              <w:ind w:left="778" w:right="770"/>
              <w:jc w:val="center"/>
              <w:rPr>
                <w:sz w:val="16"/>
              </w:rPr>
            </w:pPr>
            <w:r>
              <w:rPr>
                <w:sz w:val="16"/>
              </w:rPr>
              <w:t>Importe</w:t>
            </w:r>
          </w:p>
        </w:tc>
        <w:tc>
          <w:tcPr>
            <w:tcW w:w="2126" w:type="dxa"/>
          </w:tcPr>
          <w:p>
            <w:pPr>
              <w:pStyle w:val="TableParagraph"/>
              <w:spacing w:line="175" w:lineRule="exact" w:before="30"/>
              <w:ind w:left="779" w:right="770"/>
              <w:jc w:val="center"/>
              <w:rPr>
                <w:sz w:val="16"/>
              </w:rPr>
            </w:pPr>
            <w:r>
              <w:rPr>
                <w:sz w:val="16"/>
              </w:rPr>
              <w:t>Importe</w:t>
            </w:r>
          </w:p>
        </w:tc>
      </w:tr>
      <w:tr>
        <w:trPr>
          <w:trHeight w:val="225" w:hRule="atLeast"/>
        </w:trPr>
        <w:tc>
          <w:tcPr>
            <w:tcW w:w="3684" w:type="dxa"/>
            <w:tcBorders>
              <w:top w:val="nil"/>
              <w:bottom w:val="nil"/>
            </w:tcBorders>
          </w:tcPr>
          <w:p>
            <w:pPr>
              <w:pStyle w:val="TableParagraph"/>
              <w:spacing w:line="175" w:lineRule="exact" w:before="30"/>
              <w:ind w:left="69"/>
              <w:rPr>
                <w:sz w:val="16"/>
              </w:rPr>
            </w:pPr>
            <w:r>
              <w:rPr>
                <w:sz w:val="16"/>
              </w:rPr>
              <w:t>Saldo inicial,</w:t>
            </w:r>
          </w:p>
        </w:tc>
        <w:tc>
          <w:tcPr>
            <w:tcW w:w="2126" w:type="dxa"/>
          </w:tcPr>
          <w:p>
            <w:pPr>
              <w:pStyle w:val="TableParagraph"/>
              <w:spacing w:line="175" w:lineRule="exact" w:before="30"/>
              <w:ind w:right="55"/>
              <w:jc w:val="right"/>
              <w:rPr>
                <w:sz w:val="16"/>
              </w:rPr>
            </w:pPr>
            <w:r>
              <w:rPr>
                <w:sz w:val="16"/>
              </w:rPr>
              <w:t>15.323,41</w:t>
            </w:r>
          </w:p>
        </w:tc>
        <w:tc>
          <w:tcPr>
            <w:tcW w:w="2126" w:type="dxa"/>
          </w:tcPr>
          <w:p>
            <w:pPr>
              <w:pStyle w:val="TableParagraph"/>
              <w:spacing w:line="175" w:lineRule="exact" w:before="30"/>
              <w:ind w:right="54"/>
              <w:jc w:val="right"/>
              <w:rPr>
                <w:sz w:val="16"/>
              </w:rPr>
            </w:pPr>
            <w:r>
              <w:rPr>
                <w:sz w:val="16"/>
              </w:rPr>
              <w:t>14.450,64</w:t>
            </w:r>
          </w:p>
        </w:tc>
      </w:tr>
      <w:tr>
        <w:trPr>
          <w:trHeight w:val="225" w:hRule="atLeast"/>
        </w:trPr>
        <w:tc>
          <w:tcPr>
            <w:tcW w:w="3684" w:type="dxa"/>
            <w:tcBorders>
              <w:top w:val="nil"/>
              <w:bottom w:val="nil"/>
            </w:tcBorders>
          </w:tcPr>
          <w:p>
            <w:pPr>
              <w:pStyle w:val="TableParagraph"/>
              <w:spacing w:line="175" w:lineRule="exact" w:before="30"/>
              <w:ind w:left="69"/>
              <w:rPr>
                <w:sz w:val="16"/>
              </w:rPr>
            </w:pPr>
            <w:r>
              <w:rPr>
                <w:sz w:val="16"/>
              </w:rPr>
              <w:t>Aumentos</w:t>
            </w:r>
          </w:p>
        </w:tc>
        <w:tc>
          <w:tcPr>
            <w:tcW w:w="2126" w:type="dxa"/>
          </w:tcPr>
          <w:p>
            <w:pPr>
              <w:pStyle w:val="TableParagraph"/>
              <w:spacing w:line="175" w:lineRule="exact" w:before="30"/>
              <w:ind w:right="55"/>
              <w:jc w:val="right"/>
              <w:rPr>
                <w:sz w:val="16"/>
              </w:rPr>
            </w:pPr>
            <w:r>
              <w:rPr>
                <w:sz w:val="16"/>
              </w:rPr>
              <w:t>413.297,47</w:t>
            </w:r>
          </w:p>
        </w:tc>
        <w:tc>
          <w:tcPr>
            <w:tcW w:w="2126" w:type="dxa"/>
          </w:tcPr>
          <w:p>
            <w:pPr>
              <w:pStyle w:val="TableParagraph"/>
              <w:spacing w:line="175" w:lineRule="exact" w:before="30"/>
              <w:ind w:right="54"/>
              <w:jc w:val="right"/>
              <w:rPr>
                <w:sz w:val="16"/>
              </w:rPr>
            </w:pPr>
            <w:r>
              <w:rPr>
                <w:sz w:val="16"/>
              </w:rPr>
              <w:t>400.118,07</w:t>
            </w:r>
          </w:p>
        </w:tc>
      </w:tr>
      <w:tr>
        <w:trPr>
          <w:trHeight w:val="225" w:hRule="atLeast"/>
        </w:trPr>
        <w:tc>
          <w:tcPr>
            <w:tcW w:w="3684" w:type="dxa"/>
            <w:tcBorders>
              <w:top w:val="nil"/>
              <w:bottom w:val="nil"/>
            </w:tcBorders>
          </w:tcPr>
          <w:p>
            <w:pPr>
              <w:pStyle w:val="TableParagraph"/>
              <w:spacing w:line="178" w:lineRule="exact" w:before="27"/>
              <w:ind w:left="69"/>
              <w:rPr>
                <w:sz w:val="16"/>
              </w:rPr>
            </w:pPr>
            <w:r>
              <w:rPr>
                <w:sz w:val="16"/>
              </w:rPr>
              <w:t>Disminuciones</w:t>
            </w:r>
          </w:p>
        </w:tc>
        <w:tc>
          <w:tcPr>
            <w:tcW w:w="2126" w:type="dxa"/>
          </w:tcPr>
          <w:p>
            <w:pPr>
              <w:pStyle w:val="TableParagraph"/>
              <w:spacing w:line="178" w:lineRule="exact" w:before="27"/>
              <w:ind w:right="55"/>
              <w:jc w:val="right"/>
              <w:rPr>
                <w:sz w:val="16"/>
              </w:rPr>
            </w:pPr>
            <w:r>
              <w:rPr>
                <w:sz w:val="16"/>
              </w:rPr>
              <w:t>402.513,74</w:t>
            </w:r>
          </w:p>
        </w:tc>
        <w:tc>
          <w:tcPr>
            <w:tcW w:w="2126" w:type="dxa"/>
          </w:tcPr>
          <w:p>
            <w:pPr>
              <w:pStyle w:val="TableParagraph"/>
              <w:spacing w:line="178" w:lineRule="exact" w:before="27"/>
              <w:ind w:right="54"/>
              <w:jc w:val="right"/>
              <w:rPr>
                <w:sz w:val="16"/>
              </w:rPr>
            </w:pPr>
            <w:r>
              <w:rPr>
                <w:sz w:val="16"/>
              </w:rPr>
              <w:t>399.245,30</w:t>
            </w:r>
          </w:p>
        </w:tc>
      </w:tr>
      <w:tr>
        <w:trPr>
          <w:trHeight w:val="225" w:hRule="atLeast"/>
        </w:trPr>
        <w:tc>
          <w:tcPr>
            <w:tcW w:w="3684" w:type="dxa"/>
            <w:tcBorders>
              <w:top w:val="nil"/>
            </w:tcBorders>
          </w:tcPr>
          <w:p>
            <w:pPr>
              <w:pStyle w:val="TableParagraph"/>
              <w:spacing w:line="178" w:lineRule="exact" w:before="27"/>
              <w:ind w:left="69"/>
              <w:rPr>
                <w:sz w:val="16"/>
              </w:rPr>
            </w:pPr>
            <w:r>
              <w:rPr>
                <w:sz w:val="16"/>
              </w:rPr>
              <w:t>Saldo final,</w:t>
            </w:r>
          </w:p>
        </w:tc>
        <w:tc>
          <w:tcPr>
            <w:tcW w:w="2126" w:type="dxa"/>
          </w:tcPr>
          <w:p>
            <w:pPr>
              <w:pStyle w:val="TableParagraph"/>
              <w:spacing w:line="178" w:lineRule="exact" w:before="27"/>
              <w:ind w:right="55"/>
              <w:jc w:val="right"/>
              <w:rPr>
                <w:sz w:val="16"/>
              </w:rPr>
            </w:pPr>
            <w:r>
              <w:rPr>
                <w:sz w:val="16"/>
              </w:rPr>
              <w:t>26.107,14</w:t>
            </w:r>
          </w:p>
        </w:tc>
        <w:tc>
          <w:tcPr>
            <w:tcW w:w="2126" w:type="dxa"/>
          </w:tcPr>
          <w:p>
            <w:pPr>
              <w:pStyle w:val="TableParagraph"/>
              <w:spacing w:line="178" w:lineRule="exact" w:before="27"/>
              <w:ind w:right="54"/>
              <w:jc w:val="right"/>
              <w:rPr>
                <w:sz w:val="16"/>
              </w:rPr>
            </w:pPr>
            <w:r>
              <w:rPr>
                <w:sz w:val="16"/>
              </w:rPr>
              <w:t>15.323,41</w:t>
            </w:r>
          </w:p>
        </w:tc>
      </w:tr>
    </w:tbl>
    <w:p>
      <w:pPr>
        <w:pStyle w:val="BodyText"/>
        <w:rPr>
          <w:sz w:val="20"/>
        </w:rPr>
      </w:pPr>
    </w:p>
    <w:p>
      <w:pPr>
        <w:pStyle w:val="BodyText"/>
        <w:rPr>
          <w:sz w:val="20"/>
        </w:rPr>
      </w:pPr>
    </w:p>
    <w:p>
      <w:pPr>
        <w:pStyle w:val="BodyText"/>
        <w:rPr>
          <w:sz w:val="20"/>
        </w:rPr>
      </w:pPr>
    </w:p>
    <w:p>
      <w:pPr>
        <w:pStyle w:val="BodyText"/>
        <w:rPr>
          <w:sz w:val="25"/>
        </w:rPr>
      </w:pPr>
    </w:p>
    <w:p>
      <w:pPr>
        <w:pStyle w:val="Heading1"/>
        <w:numPr>
          <w:ilvl w:val="0"/>
          <w:numId w:val="12"/>
        </w:numPr>
        <w:tabs>
          <w:tab w:pos="401" w:val="left" w:leader="none"/>
        </w:tabs>
        <w:spacing w:line="240" w:lineRule="auto" w:before="44" w:after="0"/>
        <w:ind w:left="400" w:right="0" w:hanging="280"/>
        <w:jc w:val="left"/>
      </w:pPr>
      <w:r>
        <w:rPr/>
        <w:t>ACTIVOS</w:t>
      </w:r>
      <w:r>
        <w:rPr>
          <w:spacing w:val="-3"/>
        </w:rPr>
        <w:t> </w:t>
      </w:r>
      <w:r>
        <w:rPr/>
        <w:t>FINANCIEROS.</w:t>
      </w:r>
    </w:p>
    <w:p>
      <w:pPr>
        <w:pStyle w:val="BodyText"/>
        <w:spacing w:before="7"/>
        <w:rPr>
          <w:b/>
          <w:sz w:val="2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8"/>
        <w:gridCol w:w="1020"/>
        <w:gridCol w:w="1020"/>
        <w:gridCol w:w="1020"/>
        <w:gridCol w:w="1020"/>
        <w:gridCol w:w="1020"/>
        <w:gridCol w:w="1020"/>
      </w:tblGrid>
      <w:tr>
        <w:trPr>
          <w:trHeight w:val="299" w:hRule="atLeast"/>
        </w:trPr>
        <w:tc>
          <w:tcPr>
            <w:tcW w:w="2918" w:type="dxa"/>
            <w:vMerge w:val="restart"/>
            <w:tcBorders>
              <w:top w:val="nil"/>
              <w:left w:val="nil"/>
            </w:tcBorders>
          </w:tcPr>
          <w:p>
            <w:pPr>
              <w:pStyle w:val="TableParagraph"/>
              <w:spacing w:before="0"/>
              <w:rPr>
                <w:rFonts w:ascii="Times New Roman"/>
                <w:sz w:val="16"/>
              </w:rPr>
            </w:pPr>
          </w:p>
        </w:tc>
        <w:tc>
          <w:tcPr>
            <w:tcW w:w="6120" w:type="dxa"/>
            <w:gridSpan w:val="6"/>
          </w:tcPr>
          <w:p>
            <w:pPr>
              <w:pStyle w:val="TableParagraph"/>
              <w:spacing w:line="175" w:lineRule="exact" w:before="104"/>
              <w:ind w:left="1809"/>
              <w:rPr>
                <w:sz w:val="16"/>
              </w:rPr>
            </w:pPr>
            <w:r>
              <w:rPr>
                <w:sz w:val="16"/>
              </w:rPr>
              <w:t>Instrumentos financieros a corto plazo</w:t>
            </w:r>
          </w:p>
        </w:tc>
      </w:tr>
      <w:tr>
        <w:trPr>
          <w:trHeight w:val="390" w:hRule="atLeast"/>
        </w:trPr>
        <w:tc>
          <w:tcPr>
            <w:tcW w:w="2918" w:type="dxa"/>
            <w:vMerge/>
            <w:tcBorders>
              <w:top w:val="nil"/>
              <w:left w:val="nil"/>
            </w:tcBorders>
          </w:tcPr>
          <w:p>
            <w:pPr>
              <w:rPr>
                <w:sz w:val="2"/>
                <w:szCs w:val="2"/>
              </w:rPr>
            </w:pPr>
          </w:p>
        </w:tc>
        <w:tc>
          <w:tcPr>
            <w:tcW w:w="2040" w:type="dxa"/>
            <w:gridSpan w:val="2"/>
          </w:tcPr>
          <w:p>
            <w:pPr>
              <w:pStyle w:val="TableParagraph"/>
              <w:spacing w:before="97"/>
              <w:ind w:left="103"/>
              <w:rPr>
                <w:sz w:val="16"/>
              </w:rPr>
            </w:pPr>
            <w:r>
              <w:rPr>
                <w:sz w:val="16"/>
              </w:rPr>
              <w:t>Instrumentos de patrimonio</w:t>
            </w:r>
          </w:p>
        </w:tc>
        <w:tc>
          <w:tcPr>
            <w:tcW w:w="2040" w:type="dxa"/>
            <w:gridSpan w:val="2"/>
          </w:tcPr>
          <w:p>
            <w:pPr>
              <w:pStyle w:val="TableParagraph"/>
              <w:spacing w:line="194" w:lineRule="exact" w:before="0"/>
              <w:ind w:left="127" w:right="119"/>
              <w:jc w:val="center"/>
              <w:rPr>
                <w:sz w:val="16"/>
              </w:rPr>
            </w:pPr>
            <w:r>
              <w:rPr>
                <w:sz w:val="16"/>
              </w:rPr>
              <w:t>Valores representativos de</w:t>
            </w:r>
          </w:p>
          <w:p>
            <w:pPr>
              <w:pStyle w:val="TableParagraph"/>
              <w:spacing w:line="175" w:lineRule="exact" w:before="1"/>
              <w:ind w:left="127" w:right="117"/>
              <w:jc w:val="center"/>
              <w:rPr>
                <w:sz w:val="16"/>
              </w:rPr>
            </w:pPr>
            <w:r>
              <w:rPr>
                <w:sz w:val="16"/>
              </w:rPr>
              <w:t>deuda</w:t>
            </w:r>
          </w:p>
        </w:tc>
        <w:tc>
          <w:tcPr>
            <w:tcW w:w="2040" w:type="dxa"/>
            <w:gridSpan w:val="2"/>
          </w:tcPr>
          <w:p>
            <w:pPr>
              <w:pStyle w:val="TableParagraph"/>
              <w:spacing w:before="97"/>
              <w:ind w:left="206"/>
              <w:rPr>
                <w:sz w:val="16"/>
              </w:rPr>
            </w:pPr>
            <w:r>
              <w:rPr>
                <w:sz w:val="16"/>
              </w:rPr>
              <w:t>Créditos Derivados Otros</w:t>
            </w:r>
          </w:p>
        </w:tc>
      </w:tr>
      <w:tr>
        <w:trPr>
          <w:trHeight w:val="299" w:hRule="atLeast"/>
        </w:trPr>
        <w:tc>
          <w:tcPr>
            <w:tcW w:w="2918" w:type="dxa"/>
            <w:vMerge/>
            <w:tcBorders>
              <w:top w:val="nil"/>
              <w:left w:val="nil"/>
            </w:tcBorders>
          </w:tcPr>
          <w:p>
            <w:pPr>
              <w:rPr>
                <w:sz w:val="2"/>
                <w:szCs w:val="2"/>
              </w:rPr>
            </w:pPr>
          </w:p>
        </w:tc>
        <w:tc>
          <w:tcPr>
            <w:tcW w:w="1020" w:type="dxa"/>
          </w:tcPr>
          <w:p>
            <w:pPr>
              <w:pStyle w:val="TableParagraph"/>
              <w:spacing w:before="51"/>
              <w:ind w:left="182"/>
              <w:rPr>
                <w:sz w:val="16"/>
              </w:rPr>
            </w:pPr>
            <w:r>
              <w:rPr>
                <w:sz w:val="16"/>
              </w:rPr>
              <w:t>Ejer. 2024</w:t>
            </w:r>
          </w:p>
        </w:tc>
        <w:tc>
          <w:tcPr>
            <w:tcW w:w="1020" w:type="dxa"/>
          </w:tcPr>
          <w:p>
            <w:pPr>
              <w:pStyle w:val="TableParagraph"/>
              <w:spacing w:before="51"/>
              <w:ind w:left="182"/>
              <w:rPr>
                <w:sz w:val="16"/>
              </w:rPr>
            </w:pPr>
            <w:r>
              <w:rPr>
                <w:sz w:val="16"/>
              </w:rPr>
              <w:t>Ejer. 2023</w:t>
            </w:r>
          </w:p>
        </w:tc>
        <w:tc>
          <w:tcPr>
            <w:tcW w:w="1020" w:type="dxa"/>
          </w:tcPr>
          <w:p>
            <w:pPr>
              <w:pStyle w:val="TableParagraph"/>
              <w:spacing w:before="51"/>
              <w:ind w:left="182"/>
              <w:rPr>
                <w:sz w:val="16"/>
              </w:rPr>
            </w:pPr>
            <w:r>
              <w:rPr>
                <w:sz w:val="16"/>
              </w:rPr>
              <w:t>Ejer. 2024</w:t>
            </w:r>
          </w:p>
        </w:tc>
        <w:tc>
          <w:tcPr>
            <w:tcW w:w="1020" w:type="dxa"/>
          </w:tcPr>
          <w:p>
            <w:pPr>
              <w:pStyle w:val="TableParagraph"/>
              <w:spacing w:before="51"/>
              <w:ind w:left="182"/>
              <w:rPr>
                <w:sz w:val="16"/>
              </w:rPr>
            </w:pPr>
            <w:r>
              <w:rPr>
                <w:sz w:val="16"/>
              </w:rPr>
              <w:t>Ejer. 2023</w:t>
            </w:r>
          </w:p>
        </w:tc>
        <w:tc>
          <w:tcPr>
            <w:tcW w:w="1020" w:type="dxa"/>
          </w:tcPr>
          <w:p>
            <w:pPr>
              <w:pStyle w:val="TableParagraph"/>
              <w:spacing w:before="51"/>
              <w:ind w:left="182"/>
              <w:rPr>
                <w:sz w:val="16"/>
              </w:rPr>
            </w:pPr>
            <w:r>
              <w:rPr>
                <w:sz w:val="16"/>
              </w:rPr>
              <w:t>Ejer. 2024</w:t>
            </w:r>
          </w:p>
        </w:tc>
        <w:tc>
          <w:tcPr>
            <w:tcW w:w="1020" w:type="dxa"/>
          </w:tcPr>
          <w:p>
            <w:pPr>
              <w:pStyle w:val="TableParagraph"/>
              <w:spacing w:before="51"/>
              <w:ind w:left="182"/>
              <w:rPr>
                <w:sz w:val="16"/>
              </w:rPr>
            </w:pPr>
            <w:r>
              <w:rPr>
                <w:sz w:val="16"/>
              </w:rPr>
              <w:t>Ejer. 2023</w:t>
            </w:r>
          </w:p>
        </w:tc>
      </w:tr>
      <w:tr>
        <w:trPr>
          <w:trHeight w:val="390" w:hRule="atLeast"/>
        </w:trPr>
        <w:tc>
          <w:tcPr>
            <w:tcW w:w="2918" w:type="dxa"/>
          </w:tcPr>
          <w:p>
            <w:pPr>
              <w:pStyle w:val="TableParagraph"/>
              <w:spacing w:line="194" w:lineRule="exact" w:before="0"/>
              <w:ind w:left="69"/>
              <w:rPr>
                <w:sz w:val="16"/>
              </w:rPr>
            </w:pPr>
            <w:r>
              <w:rPr>
                <w:sz w:val="16"/>
              </w:rPr>
              <w:t>Activos a valor razonable con cambios en</w:t>
            </w:r>
          </w:p>
          <w:p>
            <w:pPr>
              <w:pStyle w:val="TableParagraph"/>
              <w:spacing w:line="175" w:lineRule="exact" w:before="1"/>
              <w:ind w:left="69"/>
              <w:rPr>
                <w:sz w:val="16"/>
              </w:rPr>
            </w:pPr>
            <w:r>
              <w:rPr>
                <w:sz w:val="16"/>
              </w:rPr>
              <w:t>el excedente del ejercicio</w:t>
            </w: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r>
      <w:tr>
        <w:trPr>
          <w:trHeight w:val="390" w:hRule="atLeast"/>
        </w:trPr>
        <w:tc>
          <w:tcPr>
            <w:tcW w:w="2918" w:type="dxa"/>
          </w:tcPr>
          <w:p>
            <w:pPr>
              <w:pStyle w:val="TableParagraph"/>
              <w:spacing w:line="194" w:lineRule="exact" w:before="0"/>
              <w:ind w:left="69"/>
              <w:rPr>
                <w:sz w:val="16"/>
              </w:rPr>
            </w:pPr>
            <w:r>
              <w:rPr>
                <w:sz w:val="16"/>
              </w:rPr>
              <w:t>Inversiones mantenidas hasta el</w:t>
            </w:r>
          </w:p>
          <w:p>
            <w:pPr>
              <w:pStyle w:val="TableParagraph"/>
              <w:spacing w:line="175" w:lineRule="exact" w:before="1"/>
              <w:ind w:left="69"/>
              <w:rPr>
                <w:sz w:val="16"/>
              </w:rPr>
            </w:pPr>
            <w:r>
              <w:rPr>
                <w:sz w:val="16"/>
              </w:rPr>
              <w:t>vencimiento</w:t>
            </w: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r>
      <w:tr>
        <w:trPr>
          <w:trHeight w:val="198" w:hRule="atLeast"/>
        </w:trPr>
        <w:tc>
          <w:tcPr>
            <w:tcW w:w="2918" w:type="dxa"/>
          </w:tcPr>
          <w:p>
            <w:pPr>
              <w:pStyle w:val="TableParagraph"/>
              <w:spacing w:line="178" w:lineRule="exact" w:before="1"/>
              <w:ind w:left="69"/>
              <w:rPr>
                <w:sz w:val="16"/>
              </w:rPr>
            </w:pPr>
            <w:r>
              <w:rPr>
                <w:sz w:val="16"/>
              </w:rPr>
              <w:t>Préstamos y partidas a cobrar</w:t>
            </w: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line="178" w:lineRule="exact" w:before="1"/>
              <w:ind w:left="220"/>
              <w:rPr>
                <w:sz w:val="16"/>
              </w:rPr>
            </w:pPr>
            <w:r>
              <w:rPr>
                <w:sz w:val="16"/>
              </w:rPr>
              <w:t>134.656,45</w:t>
            </w:r>
          </w:p>
        </w:tc>
        <w:tc>
          <w:tcPr>
            <w:tcW w:w="1020" w:type="dxa"/>
          </w:tcPr>
          <w:p>
            <w:pPr>
              <w:pStyle w:val="TableParagraph"/>
              <w:spacing w:line="178" w:lineRule="exact" w:before="1"/>
              <w:ind w:right="55"/>
              <w:jc w:val="right"/>
              <w:rPr>
                <w:sz w:val="16"/>
              </w:rPr>
            </w:pPr>
            <w:r>
              <w:rPr>
                <w:sz w:val="16"/>
              </w:rPr>
              <w:t>67.963,41</w:t>
            </w:r>
          </w:p>
        </w:tc>
      </w:tr>
      <w:tr>
        <w:trPr>
          <w:trHeight w:val="194" w:hRule="atLeast"/>
        </w:trPr>
        <w:tc>
          <w:tcPr>
            <w:tcW w:w="2918" w:type="dxa"/>
          </w:tcPr>
          <w:p>
            <w:pPr>
              <w:pStyle w:val="TableParagraph"/>
              <w:spacing w:line="174" w:lineRule="exact" w:before="0"/>
              <w:ind w:left="69"/>
              <w:rPr>
                <w:sz w:val="16"/>
              </w:rPr>
            </w:pPr>
            <w:r>
              <w:rPr>
                <w:sz w:val="16"/>
              </w:rPr>
              <w:t>Activos disponibles para la venta</w:t>
            </w: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r>
      <w:tr>
        <w:trPr>
          <w:trHeight w:val="196" w:hRule="atLeast"/>
        </w:trPr>
        <w:tc>
          <w:tcPr>
            <w:tcW w:w="2918" w:type="dxa"/>
          </w:tcPr>
          <w:p>
            <w:pPr>
              <w:pStyle w:val="TableParagraph"/>
              <w:spacing w:line="175" w:lineRule="exact" w:before="1"/>
              <w:ind w:left="69"/>
              <w:rPr>
                <w:sz w:val="16"/>
              </w:rPr>
            </w:pPr>
            <w:r>
              <w:rPr>
                <w:sz w:val="16"/>
              </w:rPr>
              <w:t>Derivados de cobertura</w:t>
            </w: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r>
      <w:tr>
        <w:trPr>
          <w:trHeight w:val="196" w:hRule="atLeast"/>
        </w:trPr>
        <w:tc>
          <w:tcPr>
            <w:tcW w:w="2918" w:type="dxa"/>
          </w:tcPr>
          <w:p>
            <w:pPr>
              <w:pStyle w:val="TableParagraph"/>
              <w:spacing w:line="176" w:lineRule="exact" w:before="0"/>
              <w:ind w:left="69"/>
              <w:rPr>
                <w:sz w:val="16"/>
              </w:rPr>
            </w:pPr>
            <w:r>
              <w:rPr>
                <w:sz w:val="16"/>
              </w:rPr>
              <w:t>Total</w:t>
            </w: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before="0"/>
              <w:rPr>
                <w:rFonts w:ascii="Times New Roman"/>
                <w:sz w:val="12"/>
              </w:rPr>
            </w:pPr>
          </w:p>
        </w:tc>
        <w:tc>
          <w:tcPr>
            <w:tcW w:w="1020" w:type="dxa"/>
          </w:tcPr>
          <w:p>
            <w:pPr>
              <w:pStyle w:val="TableParagraph"/>
              <w:spacing w:line="176" w:lineRule="exact" w:before="0"/>
              <w:ind w:left="221"/>
              <w:rPr>
                <w:sz w:val="16"/>
              </w:rPr>
            </w:pPr>
            <w:r>
              <w:rPr>
                <w:sz w:val="16"/>
              </w:rPr>
              <w:t>134.656,45</w:t>
            </w:r>
          </w:p>
        </w:tc>
        <w:tc>
          <w:tcPr>
            <w:tcW w:w="1020" w:type="dxa"/>
          </w:tcPr>
          <w:p>
            <w:pPr>
              <w:pStyle w:val="TableParagraph"/>
              <w:spacing w:line="176" w:lineRule="exact" w:before="0"/>
              <w:ind w:right="55"/>
              <w:jc w:val="right"/>
              <w:rPr>
                <w:sz w:val="16"/>
              </w:rPr>
            </w:pPr>
            <w:r>
              <w:rPr>
                <w:sz w:val="16"/>
              </w:rPr>
              <w:t>67.963,41</w:t>
            </w:r>
          </w:p>
        </w:tc>
      </w:tr>
    </w:tbl>
    <w:p>
      <w:pPr>
        <w:pStyle w:val="BodyText"/>
        <w:rPr>
          <w:b/>
          <w:sz w:val="38"/>
        </w:rPr>
      </w:pPr>
    </w:p>
    <w:p>
      <w:pPr>
        <w:pStyle w:val="BodyText"/>
        <w:spacing w:before="1"/>
        <w:ind w:left="121"/>
      </w:pPr>
      <w:r>
        <w:rPr/>
        <w:t>La Fundación no tiene activos financieros a largo plazo.</w:t>
      </w:r>
    </w:p>
    <w:p>
      <w:pPr>
        <w:pStyle w:val="BodyText"/>
        <w:spacing w:before="4"/>
      </w:pPr>
    </w:p>
    <w:p>
      <w:pPr>
        <w:pStyle w:val="Heading1"/>
        <w:numPr>
          <w:ilvl w:val="0"/>
          <w:numId w:val="12"/>
        </w:numPr>
        <w:tabs>
          <w:tab w:pos="542" w:val="left" w:leader="none"/>
        </w:tabs>
        <w:spacing w:line="240" w:lineRule="auto" w:before="0" w:after="0"/>
        <w:ind w:left="541" w:right="0" w:hanging="421"/>
        <w:jc w:val="left"/>
      </w:pPr>
      <w:r>
        <w:rPr/>
        <w:t>PASIVOS</w:t>
      </w:r>
      <w:r>
        <w:rPr>
          <w:spacing w:val="-3"/>
        </w:rPr>
        <w:t> </w:t>
      </w:r>
      <w:r>
        <w:rPr/>
        <w:t>FINANCIEROS.</w:t>
      </w:r>
    </w:p>
    <w:p>
      <w:pPr>
        <w:pStyle w:val="BodyText"/>
        <w:spacing w:before="7"/>
        <w:rPr>
          <w:b/>
          <w:sz w:val="2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8"/>
        <w:gridCol w:w="1020"/>
        <w:gridCol w:w="1020"/>
        <w:gridCol w:w="1020"/>
        <w:gridCol w:w="1020"/>
        <w:gridCol w:w="1020"/>
        <w:gridCol w:w="1020"/>
      </w:tblGrid>
      <w:tr>
        <w:trPr>
          <w:trHeight w:val="299" w:hRule="atLeast"/>
        </w:trPr>
        <w:tc>
          <w:tcPr>
            <w:tcW w:w="2918" w:type="dxa"/>
            <w:vMerge w:val="restart"/>
            <w:tcBorders>
              <w:top w:val="nil"/>
              <w:left w:val="nil"/>
            </w:tcBorders>
          </w:tcPr>
          <w:p>
            <w:pPr>
              <w:pStyle w:val="TableParagraph"/>
              <w:spacing w:before="0"/>
              <w:rPr>
                <w:rFonts w:ascii="Times New Roman"/>
                <w:sz w:val="16"/>
              </w:rPr>
            </w:pPr>
          </w:p>
        </w:tc>
        <w:tc>
          <w:tcPr>
            <w:tcW w:w="6120" w:type="dxa"/>
            <w:gridSpan w:val="6"/>
          </w:tcPr>
          <w:p>
            <w:pPr>
              <w:pStyle w:val="TableParagraph"/>
              <w:spacing w:line="178" w:lineRule="exact" w:before="102"/>
              <w:ind w:left="1809"/>
              <w:rPr>
                <w:sz w:val="16"/>
              </w:rPr>
            </w:pPr>
            <w:r>
              <w:rPr>
                <w:sz w:val="16"/>
              </w:rPr>
              <w:t>Instrumentos financieros a corto plazo</w:t>
            </w:r>
          </w:p>
        </w:tc>
      </w:tr>
      <w:tr>
        <w:trPr>
          <w:trHeight w:val="734" w:hRule="atLeast"/>
        </w:trPr>
        <w:tc>
          <w:tcPr>
            <w:tcW w:w="2918" w:type="dxa"/>
            <w:vMerge/>
            <w:tcBorders>
              <w:top w:val="nil"/>
              <w:left w:val="nil"/>
            </w:tcBorders>
          </w:tcPr>
          <w:p>
            <w:pPr>
              <w:rPr>
                <w:sz w:val="2"/>
                <w:szCs w:val="2"/>
              </w:rPr>
            </w:pPr>
          </w:p>
        </w:tc>
        <w:tc>
          <w:tcPr>
            <w:tcW w:w="2040" w:type="dxa"/>
            <w:gridSpan w:val="2"/>
          </w:tcPr>
          <w:p>
            <w:pPr>
              <w:pStyle w:val="TableParagraph"/>
              <w:spacing w:before="0"/>
              <w:rPr>
                <w:b/>
                <w:sz w:val="14"/>
              </w:rPr>
            </w:pPr>
          </w:p>
          <w:p>
            <w:pPr>
              <w:pStyle w:val="TableParagraph"/>
              <w:spacing w:before="0"/>
              <w:ind w:left="789" w:right="84" w:hanging="675"/>
              <w:rPr>
                <w:sz w:val="16"/>
              </w:rPr>
            </w:pPr>
            <w:r>
              <w:rPr>
                <w:sz w:val="16"/>
              </w:rPr>
              <w:t>Deudas con Fundaciones de crédito</w:t>
            </w:r>
          </w:p>
        </w:tc>
        <w:tc>
          <w:tcPr>
            <w:tcW w:w="2040" w:type="dxa"/>
            <w:gridSpan w:val="2"/>
          </w:tcPr>
          <w:p>
            <w:pPr>
              <w:pStyle w:val="TableParagraph"/>
              <w:spacing w:before="0"/>
              <w:rPr>
                <w:b/>
                <w:sz w:val="14"/>
              </w:rPr>
            </w:pPr>
          </w:p>
          <w:p>
            <w:pPr>
              <w:pStyle w:val="TableParagraph"/>
              <w:spacing w:before="0"/>
              <w:ind w:left="636" w:right="80" w:hanging="526"/>
              <w:rPr>
                <w:sz w:val="16"/>
              </w:rPr>
            </w:pPr>
            <w:r>
              <w:rPr>
                <w:sz w:val="16"/>
              </w:rPr>
              <w:t>Obligaciones y otros valores negociables</w:t>
            </w:r>
          </w:p>
        </w:tc>
        <w:tc>
          <w:tcPr>
            <w:tcW w:w="2040" w:type="dxa"/>
            <w:gridSpan w:val="2"/>
          </w:tcPr>
          <w:p>
            <w:pPr>
              <w:pStyle w:val="TableParagraph"/>
              <w:spacing w:before="11"/>
              <w:rPr>
                <w:b/>
                <w:sz w:val="21"/>
              </w:rPr>
            </w:pPr>
          </w:p>
          <w:p>
            <w:pPr>
              <w:pStyle w:val="TableParagraph"/>
              <w:spacing w:before="0"/>
              <w:ind w:left="513"/>
              <w:rPr>
                <w:sz w:val="16"/>
              </w:rPr>
            </w:pPr>
            <w:r>
              <w:rPr>
                <w:sz w:val="16"/>
              </w:rPr>
              <w:t>Derivados Otros</w:t>
            </w:r>
          </w:p>
        </w:tc>
      </w:tr>
      <w:tr>
        <w:trPr>
          <w:trHeight w:val="299" w:hRule="atLeast"/>
        </w:trPr>
        <w:tc>
          <w:tcPr>
            <w:tcW w:w="2918" w:type="dxa"/>
            <w:vMerge/>
            <w:tcBorders>
              <w:top w:val="nil"/>
              <w:left w:val="nil"/>
            </w:tcBorders>
          </w:tcPr>
          <w:p>
            <w:pPr>
              <w:rPr>
                <w:sz w:val="2"/>
                <w:szCs w:val="2"/>
              </w:rPr>
            </w:pPr>
          </w:p>
        </w:tc>
        <w:tc>
          <w:tcPr>
            <w:tcW w:w="1020" w:type="dxa"/>
          </w:tcPr>
          <w:p>
            <w:pPr>
              <w:pStyle w:val="TableParagraph"/>
              <w:spacing w:line="175" w:lineRule="exact" w:before="104"/>
              <w:ind w:left="69"/>
              <w:rPr>
                <w:sz w:val="16"/>
              </w:rPr>
            </w:pPr>
            <w:r>
              <w:rPr>
                <w:sz w:val="16"/>
              </w:rPr>
              <w:t>Ejer. 2024</w:t>
            </w:r>
          </w:p>
        </w:tc>
        <w:tc>
          <w:tcPr>
            <w:tcW w:w="1020" w:type="dxa"/>
          </w:tcPr>
          <w:p>
            <w:pPr>
              <w:pStyle w:val="TableParagraph"/>
              <w:spacing w:line="175" w:lineRule="exact" w:before="104"/>
              <w:ind w:left="69"/>
              <w:rPr>
                <w:sz w:val="16"/>
              </w:rPr>
            </w:pPr>
            <w:r>
              <w:rPr>
                <w:sz w:val="16"/>
              </w:rPr>
              <w:t>Ejer. 2023</w:t>
            </w:r>
          </w:p>
        </w:tc>
        <w:tc>
          <w:tcPr>
            <w:tcW w:w="1020" w:type="dxa"/>
          </w:tcPr>
          <w:p>
            <w:pPr>
              <w:pStyle w:val="TableParagraph"/>
              <w:spacing w:line="175" w:lineRule="exact" w:before="104"/>
              <w:ind w:left="69"/>
              <w:rPr>
                <w:sz w:val="16"/>
              </w:rPr>
            </w:pPr>
            <w:r>
              <w:rPr>
                <w:sz w:val="16"/>
              </w:rPr>
              <w:t>Ejer. 2024</w:t>
            </w:r>
          </w:p>
        </w:tc>
        <w:tc>
          <w:tcPr>
            <w:tcW w:w="1020" w:type="dxa"/>
          </w:tcPr>
          <w:p>
            <w:pPr>
              <w:pStyle w:val="TableParagraph"/>
              <w:spacing w:line="175" w:lineRule="exact" w:before="104"/>
              <w:ind w:left="69"/>
              <w:rPr>
                <w:sz w:val="16"/>
              </w:rPr>
            </w:pPr>
            <w:r>
              <w:rPr>
                <w:sz w:val="16"/>
              </w:rPr>
              <w:t>Ejer. 2023</w:t>
            </w:r>
          </w:p>
        </w:tc>
        <w:tc>
          <w:tcPr>
            <w:tcW w:w="1020" w:type="dxa"/>
          </w:tcPr>
          <w:p>
            <w:pPr>
              <w:pStyle w:val="TableParagraph"/>
              <w:spacing w:line="175" w:lineRule="exact" w:before="104"/>
              <w:ind w:left="69"/>
              <w:rPr>
                <w:sz w:val="16"/>
              </w:rPr>
            </w:pPr>
            <w:r>
              <w:rPr>
                <w:sz w:val="16"/>
              </w:rPr>
              <w:t>Ejer. 2024</w:t>
            </w:r>
          </w:p>
        </w:tc>
        <w:tc>
          <w:tcPr>
            <w:tcW w:w="1020" w:type="dxa"/>
          </w:tcPr>
          <w:p>
            <w:pPr>
              <w:pStyle w:val="TableParagraph"/>
              <w:spacing w:line="175" w:lineRule="exact" w:before="104"/>
              <w:ind w:left="69"/>
              <w:rPr>
                <w:sz w:val="16"/>
              </w:rPr>
            </w:pPr>
            <w:r>
              <w:rPr>
                <w:sz w:val="16"/>
              </w:rPr>
              <w:t>Ejer. 2023</w:t>
            </w:r>
          </w:p>
        </w:tc>
      </w:tr>
      <w:tr>
        <w:trPr>
          <w:trHeight w:val="302" w:hRule="atLeast"/>
        </w:trPr>
        <w:tc>
          <w:tcPr>
            <w:tcW w:w="2918" w:type="dxa"/>
          </w:tcPr>
          <w:p>
            <w:pPr>
              <w:pStyle w:val="TableParagraph"/>
              <w:spacing w:line="178" w:lineRule="exact" w:before="104"/>
              <w:ind w:left="69"/>
              <w:rPr>
                <w:sz w:val="16"/>
              </w:rPr>
            </w:pPr>
            <w:r>
              <w:rPr>
                <w:sz w:val="16"/>
              </w:rPr>
              <w:t>Débitos y partidas a pagar</w:t>
            </w: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line="178" w:lineRule="exact" w:before="104"/>
              <w:ind w:right="55"/>
              <w:jc w:val="right"/>
              <w:rPr>
                <w:sz w:val="16"/>
              </w:rPr>
            </w:pPr>
            <w:r>
              <w:rPr>
                <w:sz w:val="16"/>
              </w:rPr>
              <w:t>26.107,14</w:t>
            </w:r>
          </w:p>
        </w:tc>
        <w:tc>
          <w:tcPr>
            <w:tcW w:w="1020" w:type="dxa"/>
          </w:tcPr>
          <w:p>
            <w:pPr>
              <w:pStyle w:val="TableParagraph"/>
              <w:spacing w:line="178" w:lineRule="exact" w:before="104"/>
              <w:ind w:right="55"/>
              <w:jc w:val="right"/>
              <w:rPr>
                <w:sz w:val="16"/>
              </w:rPr>
            </w:pPr>
            <w:r>
              <w:rPr>
                <w:sz w:val="16"/>
              </w:rPr>
              <w:t>15.323,41</w:t>
            </w:r>
          </w:p>
        </w:tc>
      </w:tr>
      <w:tr>
        <w:trPr>
          <w:trHeight w:val="462" w:hRule="atLeast"/>
        </w:trPr>
        <w:tc>
          <w:tcPr>
            <w:tcW w:w="2918" w:type="dxa"/>
          </w:tcPr>
          <w:p>
            <w:pPr>
              <w:pStyle w:val="TableParagraph"/>
              <w:spacing w:line="194" w:lineRule="exact" w:before="70"/>
              <w:ind w:left="69" w:right="141"/>
              <w:rPr>
                <w:sz w:val="16"/>
              </w:rPr>
            </w:pPr>
            <w:r>
              <w:rPr>
                <w:sz w:val="16"/>
              </w:rPr>
              <w:t>Pasivos a valor razonable con cambios en pérdidas y ganancias</w:t>
            </w: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r>
      <w:tr>
        <w:trPr>
          <w:trHeight w:val="302" w:hRule="atLeast"/>
        </w:trPr>
        <w:tc>
          <w:tcPr>
            <w:tcW w:w="2918" w:type="dxa"/>
          </w:tcPr>
          <w:p>
            <w:pPr>
              <w:pStyle w:val="TableParagraph"/>
              <w:spacing w:line="178" w:lineRule="exact" w:before="104"/>
              <w:ind w:left="69"/>
              <w:rPr>
                <w:sz w:val="16"/>
              </w:rPr>
            </w:pPr>
            <w:r>
              <w:rPr>
                <w:sz w:val="16"/>
              </w:rPr>
              <w:t>Otros</w:t>
            </w: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r>
      <w:tr>
        <w:trPr>
          <w:trHeight w:val="299" w:hRule="atLeast"/>
        </w:trPr>
        <w:tc>
          <w:tcPr>
            <w:tcW w:w="2918" w:type="dxa"/>
          </w:tcPr>
          <w:p>
            <w:pPr>
              <w:pStyle w:val="TableParagraph"/>
              <w:spacing w:line="178" w:lineRule="exact" w:before="102"/>
              <w:ind w:left="69"/>
              <w:rPr>
                <w:sz w:val="16"/>
              </w:rPr>
            </w:pPr>
            <w:r>
              <w:rPr>
                <w:sz w:val="16"/>
              </w:rPr>
              <w:t>Total</w:t>
            </w: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before="0"/>
              <w:rPr>
                <w:rFonts w:ascii="Times New Roman"/>
                <w:sz w:val="16"/>
              </w:rPr>
            </w:pPr>
          </w:p>
        </w:tc>
        <w:tc>
          <w:tcPr>
            <w:tcW w:w="1020" w:type="dxa"/>
          </w:tcPr>
          <w:p>
            <w:pPr>
              <w:pStyle w:val="TableParagraph"/>
              <w:spacing w:line="178" w:lineRule="exact" w:before="102"/>
              <w:ind w:right="55"/>
              <w:jc w:val="right"/>
              <w:rPr>
                <w:sz w:val="16"/>
              </w:rPr>
            </w:pPr>
            <w:r>
              <w:rPr>
                <w:sz w:val="16"/>
              </w:rPr>
              <w:t>26.107,14</w:t>
            </w:r>
          </w:p>
        </w:tc>
        <w:tc>
          <w:tcPr>
            <w:tcW w:w="1020" w:type="dxa"/>
          </w:tcPr>
          <w:p>
            <w:pPr>
              <w:pStyle w:val="TableParagraph"/>
              <w:spacing w:line="178" w:lineRule="exact" w:before="102"/>
              <w:ind w:right="55"/>
              <w:jc w:val="right"/>
              <w:rPr>
                <w:sz w:val="16"/>
              </w:rPr>
            </w:pPr>
            <w:r>
              <w:rPr>
                <w:sz w:val="16"/>
              </w:rPr>
              <w:t>15.323,41</w:t>
            </w:r>
          </w:p>
        </w:tc>
      </w:tr>
    </w:tbl>
    <w:p>
      <w:pPr>
        <w:pStyle w:val="BodyText"/>
        <w:rPr>
          <w:b/>
          <w:sz w:val="38"/>
        </w:rPr>
      </w:pPr>
    </w:p>
    <w:p>
      <w:pPr>
        <w:pStyle w:val="BodyText"/>
        <w:spacing w:before="1"/>
        <w:ind w:left="121"/>
      </w:pPr>
      <w:r>
        <w:rPr/>
        <w:t>La Fundación no tiene pasivos financieros a largo plazo.</w:t>
      </w:r>
    </w:p>
    <w:p>
      <w:pPr>
        <w:pStyle w:val="BodyText"/>
        <w:spacing w:before="4"/>
      </w:pPr>
    </w:p>
    <w:p>
      <w:pPr>
        <w:pStyle w:val="Heading1"/>
        <w:numPr>
          <w:ilvl w:val="0"/>
          <w:numId w:val="12"/>
        </w:numPr>
        <w:tabs>
          <w:tab w:pos="542" w:val="left" w:leader="none"/>
        </w:tabs>
        <w:spacing w:line="240" w:lineRule="auto" w:before="0" w:after="0"/>
        <w:ind w:left="541" w:right="0" w:hanging="421"/>
        <w:jc w:val="left"/>
      </w:pPr>
      <w:r>
        <w:rPr/>
        <w:t>FONDOS</w:t>
      </w:r>
      <w:r>
        <w:rPr>
          <w:spacing w:val="-3"/>
        </w:rPr>
        <w:t> </w:t>
      </w:r>
      <w:r>
        <w:rPr/>
        <w:t>PROPIOS.</w:t>
      </w:r>
    </w:p>
    <w:p>
      <w:pPr>
        <w:pStyle w:val="BodyText"/>
        <w:spacing w:before="251"/>
        <w:ind w:left="121"/>
      </w:pPr>
      <w:r>
        <w:rPr/>
        <w:t>El análisis del movimiento de las partidas durante el ejercicio ha sido el siguiente:</w:t>
      </w:r>
    </w:p>
    <w:p>
      <w:pPr>
        <w:pStyle w:val="BodyText"/>
        <w:spacing w:before="2"/>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58"/>
        <w:gridCol w:w="1060"/>
        <w:gridCol w:w="1098"/>
        <w:gridCol w:w="1079"/>
        <w:gridCol w:w="1079"/>
        <w:gridCol w:w="1079"/>
      </w:tblGrid>
      <w:tr>
        <w:trPr>
          <w:trHeight w:val="225" w:hRule="atLeast"/>
        </w:trPr>
        <w:tc>
          <w:tcPr>
            <w:tcW w:w="3158" w:type="dxa"/>
          </w:tcPr>
          <w:p>
            <w:pPr>
              <w:pStyle w:val="TableParagraph"/>
              <w:spacing w:line="190" w:lineRule="exact" w:before="15"/>
              <w:ind w:left="1325" w:right="1318"/>
              <w:jc w:val="center"/>
              <w:rPr>
                <w:sz w:val="16"/>
              </w:rPr>
            </w:pPr>
            <w:r>
              <w:rPr>
                <w:sz w:val="16"/>
              </w:rPr>
              <w:t>Cuenta</w:t>
            </w:r>
          </w:p>
        </w:tc>
        <w:tc>
          <w:tcPr>
            <w:tcW w:w="1060" w:type="dxa"/>
          </w:tcPr>
          <w:p>
            <w:pPr>
              <w:pStyle w:val="TableParagraph"/>
              <w:spacing w:line="190" w:lineRule="exact" w:before="15"/>
              <w:ind w:left="146"/>
              <w:rPr>
                <w:sz w:val="16"/>
              </w:rPr>
            </w:pPr>
            <w:r>
              <w:rPr>
                <w:sz w:val="16"/>
              </w:rPr>
              <w:t>Saldo inicial</w:t>
            </w:r>
          </w:p>
        </w:tc>
        <w:tc>
          <w:tcPr>
            <w:tcW w:w="1098" w:type="dxa"/>
          </w:tcPr>
          <w:p>
            <w:pPr>
              <w:pStyle w:val="TableParagraph"/>
              <w:spacing w:line="190" w:lineRule="exact" w:before="15"/>
              <w:ind w:left="245"/>
              <w:rPr>
                <w:sz w:val="16"/>
              </w:rPr>
            </w:pPr>
            <w:r>
              <w:rPr>
                <w:sz w:val="16"/>
              </w:rPr>
              <w:t>Aumento</w:t>
            </w:r>
          </w:p>
        </w:tc>
        <w:tc>
          <w:tcPr>
            <w:tcW w:w="1079" w:type="dxa"/>
          </w:tcPr>
          <w:p>
            <w:pPr>
              <w:pStyle w:val="TableParagraph"/>
              <w:spacing w:line="190" w:lineRule="exact" w:before="15"/>
              <w:ind w:left="141"/>
              <w:rPr>
                <w:sz w:val="16"/>
              </w:rPr>
            </w:pPr>
            <w:r>
              <w:rPr>
                <w:sz w:val="16"/>
              </w:rPr>
              <w:t>Disminución</w:t>
            </w:r>
          </w:p>
        </w:tc>
        <w:tc>
          <w:tcPr>
            <w:tcW w:w="1079" w:type="dxa"/>
          </w:tcPr>
          <w:p>
            <w:pPr>
              <w:pStyle w:val="TableParagraph"/>
              <w:spacing w:line="190" w:lineRule="exact" w:before="15"/>
              <w:ind w:left="252"/>
              <w:rPr>
                <w:sz w:val="16"/>
              </w:rPr>
            </w:pPr>
            <w:r>
              <w:rPr>
                <w:sz w:val="16"/>
              </w:rPr>
              <w:t>Traspaso</w:t>
            </w:r>
          </w:p>
        </w:tc>
        <w:tc>
          <w:tcPr>
            <w:tcW w:w="1079" w:type="dxa"/>
          </w:tcPr>
          <w:p>
            <w:pPr>
              <w:pStyle w:val="TableParagraph"/>
              <w:spacing w:line="190" w:lineRule="exact" w:before="15"/>
              <w:ind w:left="205"/>
              <w:rPr>
                <w:sz w:val="16"/>
              </w:rPr>
            </w:pPr>
            <w:r>
              <w:rPr>
                <w:sz w:val="16"/>
              </w:rPr>
              <w:t>Saldo final</w:t>
            </w:r>
          </w:p>
        </w:tc>
      </w:tr>
      <w:tr>
        <w:trPr>
          <w:trHeight w:val="225" w:hRule="atLeast"/>
        </w:trPr>
        <w:tc>
          <w:tcPr>
            <w:tcW w:w="3158" w:type="dxa"/>
            <w:vMerge w:val="restart"/>
            <w:tcBorders>
              <w:bottom w:val="nil"/>
            </w:tcBorders>
          </w:tcPr>
          <w:p>
            <w:pPr>
              <w:pStyle w:val="TableParagraph"/>
              <w:spacing w:line="288" w:lineRule="auto" w:before="30"/>
              <w:ind w:left="69" w:right="1673"/>
              <w:rPr>
                <w:sz w:val="16"/>
              </w:rPr>
            </w:pPr>
            <w:r>
              <w:rPr>
                <w:sz w:val="16"/>
              </w:rPr>
              <w:t>Dotación fundacional Reservas</w:t>
            </w:r>
          </w:p>
          <w:p>
            <w:pPr>
              <w:pStyle w:val="TableParagraph"/>
              <w:spacing w:line="175" w:lineRule="exact" w:before="1"/>
              <w:ind w:left="69"/>
              <w:rPr>
                <w:sz w:val="16"/>
              </w:rPr>
            </w:pPr>
            <w:r>
              <w:rPr>
                <w:sz w:val="16"/>
              </w:rPr>
              <w:t>Remanente</w:t>
            </w:r>
          </w:p>
        </w:tc>
        <w:tc>
          <w:tcPr>
            <w:tcW w:w="1060" w:type="dxa"/>
          </w:tcPr>
          <w:p>
            <w:pPr>
              <w:pStyle w:val="TableParagraph"/>
              <w:spacing w:line="175" w:lineRule="exact" w:before="30"/>
              <w:ind w:right="92"/>
              <w:jc w:val="right"/>
              <w:rPr>
                <w:sz w:val="16"/>
              </w:rPr>
            </w:pPr>
            <w:r>
              <w:rPr>
                <w:sz w:val="16"/>
              </w:rPr>
              <w:t>68.752,00</w:t>
            </w:r>
          </w:p>
        </w:tc>
        <w:tc>
          <w:tcPr>
            <w:tcW w:w="1098" w:type="dxa"/>
          </w:tcPr>
          <w:p>
            <w:pPr>
              <w:pStyle w:val="TableParagraph"/>
              <w:spacing w:before="0"/>
              <w:rPr>
                <w:rFonts w:ascii="Times New Roman"/>
                <w:sz w:val="16"/>
              </w:rPr>
            </w:pPr>
          </w:p>
        </w:tc>
        <w:tc>
          <w:tcPr>
            <w:tcW w:w="1079" w:type="dxa"/>
          </w:tcPr>
          <w:p>
            <w:pPr>
              <w:pStyle w:val="TableParagraph"/>
              <w:spacing w:before="0"/>
              <w:rPr>
                <w:rFonts w:ascii="Times New Roman"/>
                <w:sz w:val="16"/>
              </w:rPr>
            </w:pPr>
          </w:p>
        </w:tc>
        <w:tc>
          <w:tcPr>
            <w:tcW w:w="1079" w:type="dxa"/>
          </w:tcPr>
          <w:p>
            <w:pPr>
              <w:pStyle w:val="TableParagraph"/>
              <w:spacing w:before="0"/>
              <w:rPr>
                <w:rFonts w:ascii="Times New Roman"/>
                <w:sz w:val="16"/>
              </w:rPr>
            </w:pPr>
          </w:p>
        </w:tc>
        <w:tc>
          <w:tcPr>
            <w:tcW w:w="1079" w:type="dxa"/>
          </w:tcPr>
          <w:p>
            <w:pPr>
              <w:pStyle w:val="TableParagraph"/>
              <w:spacing w:line="175" w:lineRule="exact" w:before="30"/>
              <w:ind w:right="50"/>
              <w:jc w:val="right"/>
              <w:rPr>
                <w:sz w:val="16"/>
              </w:rPr>
            </w:pPr>
            <w:r>
              <w:rPr>
                <w:sz w:val="16"/>
              </w:rPr>
              <w:t>68.752,00</w:t>
            </w:r>
          </w:p>
        </w:tc>
      </w:tr>
      <w:tr>
        <w:trPr>
          <w:trHeight w:val="225" w:hRule="atLeast"/>
        </w:trPr>
        <w:tc>
          <w:tcPr>
            <w:tcW w:w="3158" w:type="dxa"/>
            <w:vMerge/>
            <w:tcBorders>
              <w:top w:val="nil"/>
              <w:bottom w:val="nil"/>
            </w:tcBorders>
          </w:tcPr>
          <w:p>
            <w:pPr>
              <w:rPr>
                <w:sz w:val="2"/>
                <w:szCs w:val="2"/>
              </w:rPr>
            </w:pPr>
          </w:p>
        </w:tc>
        <w:tc>
          <w:tcPr>
            <w:tcW w:w="1060" w:type="dxa"/>
          </w:tcPr>
          <w:p>
            <w:pPr>
              <w:pStyle w:val="TableParagraph"/>
              <w:spacing w:line="175" w:lineRule="exact" w:before="30"/>
              <w:ind w:right="92"/>
              <w:jc w:val="right"/>
              <w:rPr>
                <w:sz w:val="16"/>
              </w:rPr>
            </w:pPr>
            <w:r>
              <w:rPr>
                <w:sz w:val="16"/>
              </w:rPr>
              <w:t>41.058,65</w:t>
            </w:r>
          </w:p>
        </w:tc>
        <w:tc>
          <w:tcPr>
            <w:tcW w:w="1098" w:type="dxa"/>
          </w:tcPr>
          <w:p>
            <w:pPr>
              <w:pStyle w:val="TableParagraph"/>
              <w:spacing w:before="0"/>
              <w:rPr>
                <w:rFonts w:ascii="Times New Roman"/>
                <w:sz w:val="16"/>
              </w:rPr>
            </w:pPr>
          </w:p>
        </w:tc>
        <w:tc>
          <w:tcPr>
            <w:tcW w:w="1079" w:type="dxa"/>
          </w:tcPr>
          <w:p>
            <w:pPr>
              <w:pStyle w:val="TableParagraph"/>
              <w:spacing w:line="175" w:lineRule="exact" w:before="30"/>
              <w:ind w:left="566"/>
              <w:rPr>
                <w:sz w:val="16"/>
              </w:rPr>
            </w:pPr>
            <w:r>
              <w:rPr>
                <w:sz w:val="16"/>
              </w:rPr>
              <w:t>604,93</w:t>
            </w:r>
          </w:p>
        </w:tc>
        <w:tc>
          <w:tcPr>
            <w:tcW w:w="1079" w:type="dxa"/>
          </w:tcPr>
          <w:p>
            <w:pPr>
              <w:pStyle w:val="TableParagraph"/>
              <w:spacing w:before="0"/>
              <w:rPr>
                <w:rFonts w:ascii="Times New Roman"/>
                <w:sz w:val="16"/>
              </w:rPr>
            </w:pPr>
          </w:p>
        </w:tc>
        <w:tc>
          <w:tcPr>
            <w:tcW w:w="1079" w:type="dxa"/>
          </w:tcPr>
          <w:p>
            <w:pPr>
              <w:pStyle w:val="TableParagraph"/>
              <w:spacing w:line="175" w:lineRule="exact" w:before="30"/>
              <w:ind w:right="50"/>
              <w:jc w:val="right"/>
              <w:rPr>
                <w:sz w:val="16"/>
              </w:rPr>
            </w:pPr>
            <w:r>
              <w:rPr>
                <w:sz w:val="16"/>
              </w:rPr>
              <w:t>40.453,72</w:t>
            </w:r>
          </w:p>
        </w:tc>
      </w:tr>
      <w:tr>
        <w:trPr>
          <w:trHeight w:val="225" w:hRule="atLeast"/>
        </w:trPr>
        <w:tc>
          <w:tcPr>
            <w:tcW w:w="3158" w:type="dxa"/>
            <w:vMerge/>
            <w:tcBorders>
              <w:top w:val="nil"/>
              <w:bottom w:val="nil"/>
            </w:tcBorders>
          </w:tcPr>
          <w:p>
            <w:pPr>
              <w:rPr>
                <w:sz w:val="2"/>
                <w:szCs w:val="2"/>
              </w:rPr>
            </w:pPr>
          </w:p>
        </w:tc>
        <w:tc>
          <w:tcPr>
            <w:tcW w:w="1060" w:type="dxa"/>
          </w:tcPr>
          <w:p>
            <w:pPr>
              <w:pStyle w:val="TableParagraph"/>
              <w:spacing w:line="175" w:lineRule="exact" w:before="30"/>
              <w:ind w:right="92"/>
              <w:jc w:val="right"/>
              <w:rPr>
                <w:sz w:val="16"/>
              </w:rPr>
            </w:pPr>
            <w:r>
              <w:rPr>
                <w:sz w:val="16"/>
              </w:rPr>
              <w:t>60.294,15</w:t>
            </w:r>
          </w:p>
        </w:tc>
        <w:tc>
          <w:tcPr>
            <w:tcW w:w="1098" w:type="dxa"/>
          </w:tcPr>
          <w:p>
            <w:pPr>
              <w:pStyle w:val="TableParagraph"/>
              <w:spacing w:before="0"/>
              <w:rPr>
                <w:rFonts w:ascii="Times New Roman"/>
                <w:sz w:val="16"/>
              </w:rPr>
            </w:pPr>
          </w:p>
        </w:tc>
        <w:tc>
          <w:tcPr>
            <w:tcW w:w="1079" w:type="dxa"/>
          </w:tcPr>
          <w:p>
            <w:pPr>
              <w:pStyle w:val="TableParagraph"/>
              <w:spacing w:before="0"/>
              <w:rPr>
                <w:rFonts w:ascii="Times New Roman"/>
                <w:sz w:val="16"/>
              </w:rPr>
            </w:pPr>
          </w:p>
        </w:tc>
        <w:tc>
          <w:tcPr>
            <w:tcW w:w="1079" w:type="dxa"/>
          </w:tcPr>
          <w:p>
            <w:pPr>
              <w:pStyle w:val="TableParagraph"/>
              <w:spacing w:before="0"/>
              <w:rPr>
                <w:rFonts w:ascii="Times New Roman"/>
                <w:sz w:val="16"/>
              </w:rPr>
            </w:pPr>
          </w:p>
        </w:tc>
        <w:tc>
          <w:tcPr>
            <w:tcW w:w="1079" w:type="dxa"/>
          </w:tcPr>
          <w:p>
            <w:pPr>
              <w:pStyle w:val="TableParagraph"/>
              <w:spacing w:line="175" w:lineRule="exact" w:before="30"/>
              <w:ind w:right="86"/>
              <w:jc w:val="right"/>
              <w:rPr>
                <w:sz w:val="16"/>
              </w:rPr>
            </w:pPr>
            <w:r>
              <w:rPr>
                <w:sz w:val="16"/>
              </w:rPr>
              <w:t>60.294,15</w:t>
            </w:r>
          </w:p>
        </w:tc>
      </w:tr>
    </w:tbl>
    <w:p>
      <w:pPr>
        <w:spacing w:after="0" w:line="175" w:lineRule="exact"/>
        <w:jc w:val="right"/>
        <w:rPr>
          <w:sz w:val="16"/>
        </w:rPr>
        <w:sectPr>
          <w:pgSz w:w="11900" w:h="16840"/>
          <w:pgMar w:header="739" w:footer="767" w:top="1600" w:bottom="960" w:left="1580" w:right="660"/>
        </w:sectPr>
      </w:pPr>
    </w:p>
    <w:p>
      <w:pPr>
        <w:pStyle w:val="BodyText"/>
        <w:spacing w:before="8"/>
        <w:rPr>
          <w:sz w:val="22"/>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58"/>
        <w:gridCol w:w="1060"/>
        <w:gridCol w:w="1098"/>
        <w:gridCol w:w="1079"/>
        <w:gridCol w:w="1079"/>
        <w:gridCol w:w="1079"/>
      </w:tblGrid>
      <w:tr>
        <w:trPr>
          <w:trHeight w:val="223" w:hRule="atLeast"/>
        </w:trPr>
        <w:tc>
          <w:tcPr>
            <w:tcW w:w="3158" w:type="dxa"/>
            <w:vMerge w:val="restart"/>
            <w:tcBorders>
              <w:top w:val="nil"/>
            </w:tcBorders>
          </w:tcPr>
          <w:p>
            <w:pPr>
              <w:pStyle w:val="TableParagraph"/>
              <w:spacing w:before="27"/>
              <w:ind w:left="69"/>
              <w:rPr>
                <w:sz w:val="16"/>
              </w:rPr>
            </w:pPr>
            <w:r>
              <w:rPr>
                <w:sz w:val="16"/>
              </w:rPr>
              <w:t>Resultado del ejercicio</w:t>
            </w:r>
          </w:p>
          <w:p>
            <w:pPr>
              <w:pStyle w:val="TableParagraph"/>
              <w:spacing w:line="175" w:lineRule="exact" w:before="40"/>
              <w:ind w:left="69"/>
              <w:rPr>
                <w:sz w:val="16"/>
              </w:rPr>
            </w:pPr>
            <w:r>
              <w:rPr>
                <w:sz w:val="16"/>
              </w:rPr>
              <w:t>Resultados Negativos ejercicios anteriores</w:t>
            </w:r>
          </w:p>
        </w:tc>
        <w:tc>
          <w:tcPr>
            <w:tcW w:w="1060" w:type="dxa"/>
            <w:tcBorders>
              <w:top w:val="nil"/>
            </w:tcBorders>
          </w:tcPr>
          <w:p>
            <w:pPr>
              <w:pStyle w:val="TableParagraph"/>
              <w:spacing w:line="175" w:lineRule="exact" w:before="27"/>
              <w:ind w:right="56"/>
              <w:jc w:val="right"/>
              <w:rPr>
                <w:sz w:val="16"/>
              </w:rPr>
            </w:pPr>
            <w:r>
              <w:rPr>
                <w:sz w:val="16"/>
              </w:rPr>
              <w:t>-21.313,74</w:t>
            </w:r>
          </w:p>
        </w:tc>
        <w:tc>
          <w:tcPr>
            <w:tcW w:w="1098" w:type="dxa"/>
            <w:tcBorders>
              <w:top w:val="nil"/>
            </w:tcBorders>
          </w:tcPr>
          <w:p>
            <w:pPr>
              <w:pStyle w:val="TableParagraph"/>
              <w:spacing w:line="175" w:lineRule="exact" w:before="27"/>
              <w:ind w:right="53"/>
              <w:jc w:val="right"/>
              <w:rPr>
                <w:sz w:val="16"/>
              </w:rPr>
            </w:pPr>
            <w:r>
              <w:rPr>
                <w:sz w:val="16"/>
              </w:rPr>
              <w:t>25.439,68</w:t>
            </w:r>
          </w:p>
        </w:tc>
        <w:tc>
          <w:tcPr>
            <w:tcW w:w="1079" w:type="dxa"/>
            <w:tcBorders>
              <w:top w:val="nil"/>
            </w:tcBorders>
          </w:tcPr>
          <w:p>
            <w:pPr>
              <w:pStyle w:val="TableParagraph"/>
              <w:spacing w:line="175" w:lineRule="exact" w:before="27"/>
              <w:ind w:right="52"/>
              <w:jc w:val="right"/>
              <w:rPr>
                <w:sz w:val="16"/>
              </w:rPr>
            </w:pPr>
            <w:r>
              <w:rPr>
                <w:sz w:val="16"/>
              </w:rPr>
              <w:t>21.313,74</w:t>
            </w:r>
          </w:p>
        </w:tc>
        <w:tc>
          <w:tcPr>
            <w:tcW w:w="1079" w:type="dxa"/>
            <w:tcBorders>
              <w:top w:val="nil"/>
            </w:tcBorders>
          </w:tcPr>
          <w:p>
            <w:pPr>
              <w:pStyle w:val="TableParagraph"/>
              <w:spacing w:before="0"/>
              <w:rPr>
                <w:rFonts w:ascii="Times New Roman"/>
                <w:sz w:val="14"/>
              </w:rPr>
            </w:pPr>
          </w:p>
        </w:tc>
        <w:tc>
          <w:tcPr>
            <w:tcW w:w="1079" w:type="dxa"/>
            <w:tcBorders>
              <w:top w:val="nil"/>
            </w:tcBorders>
          </w:tcPr>
          <w:p>
            <w:pPr>
              <w:pStyle w:val="TableParagraph"/>
              <w:spacing w:line="175" w:lineRule="exact" w:before="27"/>
              <w:ind w:right="50"/>
              <w:jc w:val="right"/>
              <w:rPr>
                <w:sz w:val="16"/>
              </w:rPr>
            </w:pPr>
            <w:r>
              <w:rPr>
                <w:sz w:val="16"/>
              </w:rPr>
              <w:t>25.439,68</w:t>
            </w:r>
          </w:p>
        </w:tc>
      </w:tr>
      <w:tr>
        <w:trPr>
          <w:trHeight w:val="225" w:hRule="atLeast"/>
        </w:trPr>
        <w:tc>
          <w:tcPr>
            <w:tcW w:w="3158" w:type="dxa"/>
            <w:vMerge/>
            <w:tcBorders>
              <w:top w:val="nil"/>
            </w:tcBorders>
          </w:tcPr>
          <w:p>
            <w:pPr>
              <w:rPr>
                <w:sz w:val="2"/>
                <w:szCs w:val="2"/>
              </w:rPr>
            </w:pPr>
          </w:p>
        </w:tc>
        <w:tc>
          <w:tcPr>
            <w:tcW w:w="1060" w:type="dxa"/>
          </w:tcPr>
          <w:p>
            <w:pPr>
              <w:pStyle w:val="TableParagraph"/>
              <w:spacing w:line="175" w:lineRule="exact" w:before="30"/>
              <w:ind w:right="56"/>
              <w:jc w:val="right"/>
              <w:rPr>
                <w:sz w:val="16"/>
              </w:rPr>
            </w:pPr>
            <w:r>
              <w:rPr>
                <w:sz w:val="16"/>
              </w:rPr>
              <w:t>-21.450,44</w:t>
            </w:r>
          </w:p>
        </w:tc>
        <w:tc>
          <w:tcPr>
            <w:tcW w:w="1098" w:type="dxa"/>
          </w:tcPr>
          <w:p>
            <w:pPr>
              <w:pStyle w:val="TableParagraph"/>
              <w:spacing w:line="175" w:lineRule="exact" w:before="30"/>
              <w:ind w:right="53"/>
              <w:jc w:val="right"/>
              <w:rPr>
                <w:sz w:val="16"/>
              </w:rPr>
            </w:pPr>
            <w:r>
              <w:rPr>
                <w:sz w:val="16"/>
              </w:rPr>
              <w:t>21.313,74</w:t>
            </w:r>
          </w:p>
        </w:tc>
        <w:tc>
          <w:tcPr>
            <w:tcW w:w="1079" w:type="dxa"/>
          </w:tcPr>
          <w:p>
            <w:pPr>
              <w:pStyle w:val="TableParagraph"/>
              <w:spacing w:before="0"/>
              <w:rPr>
                <w:rFonts w:ascii="Times New Roman"/>
                <w:sz w:val="16"/>
              </w:rPr>
            </w:pPr>
          </w:p>
        </w:tc>
        <w:tc>
          <w:tcPr>
            <w:tcW w:w="1079" w:type="dxa"/>
          </w:tcPr>
          <w:p>
            <w:pPr>
              <w:pStyle w:val="TableParagraph"/>
              <w:spacing w:before="0"/>
              <w:rPr>
                <w:rFonts w:ascii="Times New Roman"/>
                <w:sz w:val="16"/>
              </w:rPr>
            </w:pPr>
          </w:p>
        </w:tc>
        <w:tc>
          <w:tcPr>
            <w:tcW w:w="1079" w:type="dxa"/>
          </w:tcPr>
          <w:p>
            <w:pPr>
              <w:pStyle w:val="TableParagraph"/>
              <w:spacing w:line="175" w:lineRule="exact" w:before="30"/>
              <w:ind w:right="86"/>
              <w:jc w:val="right"/>
              <w:rPr>
                <w:sz w:val="16"/>
              </w:rPr>
            </w:pPr>
            <w:r>
              <w:rPr>
                <w:sz w:val="16"/>
              </w:rPr>
              <w:t>-42.764,18</w:t>
            </w:r>
          </w:p>
        </w:tc>
      </w:tr>
      <w:tr>
        <w:trPr>
          <w:trHeight w:val="225" w:hRule="atLeast"/>
        </w:trPr>
        <w:tc>
          <w:tcPr>
            <w:tcW w:w="3158" w:type="dxa"/>
          </w:tcPr>
          <w:p>
            <w:pPr>
              <w:pStyle w:val="TableParagraph"/>
              <w:spacing w:line="175" w:lineRule="exact" w:before="30"/>
              <w:ind w:left="69"/>
              <w:rPr>
                <w:sz w:val="16"/>
              </w:rPr>
            </w:pPr>
            <w:r>
              <w:rPr>
                <w:sz w:val="16"/>
              </w:rPr>
              <w:t>Total</w:t>
            </w:r>
          </w:p>
        </w:tc>
        <w:tc>
          <w:tcPr>
            <w:tcW w:w="1060" w:type="dxa"/>
          </w:tcPr>
          <w:p>
            <w:pPr>
              <w:pStyle w:val="TableParagraph"/>
              <w:spacing w:line="175" w:lineRule="exact" w:before="30"/>
              <w:ind w:right="56"/>
              <w:jc w:val="right"/>
              <w:rPr>
                <w:sz w:val="16"/>
              </w:rPr>
            </w:pPr>
            <w:r>
              <w:rPr>
                <w:sz w:val="16"/>
              </w:rPr>
              <w:t>127.340,62</w:t>
            </w:r>
          </w:p>
        </w:tc>
        <w:tc>
          <w:tcPr>
            <w:tcW w:w="1098" w:type="dxa"/>
          </w:tcPr>
          <w:p>
            <w:pPr>
              <w:pStyle w:val="TableParagraph"/>
              <w:spacing w:line="175" w:lineRule="exact" w:before="30"/>
              <w:ind w:right="53"/>
              <w:jc w:val="right"/>
              <w:rPr>
                <w:sz w:val="16"/>
              </w:rPr>
            </w:pPr>
            <w:r>
              <w:rPr>
                <w:sz w:val="16"/>
              </w:rPr>
              <w:t>46.753,42</w:t>
            </w:r>
          </w:p>
        </w:tc>
        <w:tc>
          <w:tcPr>
            <w:tcW w:w="1079" w:type="dxa"/>
          </w:tcPr>
          <w:p>
            <w:pPr>
              <w:pStyle w:val="TableParagraph"/>
              <w:spacing w:line="175" w:lineRule="exact" w:before="30"/>
              <w:ind w:right="52"/>
              <w:jc w:val="right"/>
              <w:rPr>
                <w:sz w:val="16"/>
              </w:rPr>
            </w:pPr>
            <w:r>
              <w:rPr>
                <w:sz w:val="16"/>
              </w:rPr>
              <w:t>21.918,67</w:t>
            </w:r>
          </w:p>
        </w:tc>
        <w:tc>
          <w:tcPr>
            <w:tcW w:w="1079" w:type="dxa"/>
          </w:tcPr>
          <w:p>
            <w:pPr>
              <w:pStyle w:val="TableParagraph"/>
              <w:spacing w:before="0"/>
              <w:rPr>
                <w:rFonts w:ascii="Times New Roman"/>
                <w:sz w:val="16"/>
              </w:rPr>
            </w:pPr>
          </w:p>
        </w:tc>
        <w:tc>
          <w:tcPr>
            <w:tcW w:w="1079" w:type="dxa"/>
          </w:tcPr>
          <w:p>
            <w:pPr>
              <w:pStyle w:val="TableParagraph"/>
              <w:spacing w:line="175" w:lineRule="exact" w:before="30"/>
              <w:ind w:right="50"/>
              <w:jc w:val="right"/>
              <w:rPr>
                <w:sz w:val="16"/>
              </w:rPr>
            </w:pPr>
            <w:r>
              <w:rPr>
                <w:sz w:val="16"/>
              </w:rPr>
              <w:t>152.175,37</w:t>
            </w:r>
          </w:p>
        </w:tc>
      </w:tr>
    </w:tbl>
    <w:p>
      <w:pPr>
        <w:pStyle w:val="BodyText"/>
        <w:rPr>
          <w:sz w:val="20"/>
        </w:rPr>
      </w:pPr>
    </w:p>
    <w:p>
      <w:pPr>
        <w:pStyle w:val="BodyText"/>
        <w:spacing w:before="5"/>
        <w:rPr>
          <w:sz w:val="18"/>
        </w:rPr>
      </w:pPr>
    </w:p>
    <w:p>
      <w:pPr>
        <w:pStyle w:val="BodyText"/>
        <w:spacing w:line="273" w:lineRule="auto"/>
        <w:ind w:left="121" w:right="1033"/>
        <w:jc w:val="both"/>
      </w:pPr>
      <w:r>
        <w:rPr/>
        <w:t>La dotación fundacional asciende a 68.752,00 euros, perteneciendo al Ayuntamiento de Los Realejos 38.232,00 euros (55,61%) y al Ayuntamiento de Icod de Los Vinos 30.520,00 euros (44,39%).</w:t>
      </w:r>
    </w:p>
    <w:p>
      <w:pPr>
        <w:pStyle w:val="BodyText"/>
        <w:spacing w:before="9"/>
        <w:rPr>
          <w:sz w:val="16"/>
        </w:rPr>
      </w:pPr>
    </w:p>
    <w:p>
      <w:pPr>
        <w:pStyle w:val="Heading1"/>
        <w:numPr>
          <w:ilvl w:val="0"/>
          <w:numId w:val="12"/>
        </w:numPr>
        <w:tabs>
          <w:tab w:pos="542" w:val="left" w:leader="none"/>
        </w:tabs>
        <w:spacing w:line="240" w:lineRule="auto" w:before="0" w:after="0"/>
        <w:ind w:left="541" w:right="0" w:hanging="421"/>
        <w:jc w:val="left"/>
      </w:pPr>
      <w:r>
        <w:rPr/>
        <w:t>SITUACION</w:t>
      </w:r>
      <w:r>
        <w:rPr>
          <w:spacing w:val="-2"/>
        </w:rPr>
        <w:t> </w:t>
      </w:r>
      <w:r>
        <w:rPr/>
        <w:t>FISCAL.</w:t>
      </w:r>
    </w:p>
    <w:p>
      <w:pPr>
        <w:pStyle w:val="BodyText"/>
        <w:spacing w:before="7"/>
        <w:rPr>
          <w:b/>
          <w:sz w:val="2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22"/>
        <w:gridCol w:w="1056"/>
        <w:gridCol w:w="1133"/>
        <w:gridCol w:w="1073"/>
      </w:tblGrid>
      <w:tr>
        <w:trPr>
          <w:trHeight w:val="194" w:hRule="atLeast"/>
        </w:trPr>
        <w:tc>
          <w:tcPr>
            <w:tcW w:w="7184" w:type="dxa"/>
            <w:gridSpan w:val="4"/>
          </w:tcPr>
          <w:p>
            <w:pPr>
              <w:pStyle w:val="TableParagraph"/>
              <w:tabs>
                <w:tab w:pos="6462" w:val="left" w:leader="none"/>
              </w:tabs>
              <w:spacing w:line="174" w:lineRule="exact" w:before="0"/>
              <w:ind w:left="69"/>
              <w:rPr>
                <w:sz w:val="16"/>
              </w:rPr>
            </w:pPr>
            <w:r>
              <w:rPr>
                <w:sz w:val="16"/>
              </w:rPr>
              <w:t>Resultado</w:t>
            </w:r>
            <w:r>
              <w:rPr>
                <w:spacing w:val="-2"/>
                <w:sz w:val="16"/>
              </w:rPr>
              <w:t> </w:t>
            </w:r>
            <w:r>
              <w:rPr>
                <w:sz w:val="16"/>
              </w:rPr>
              <w:t>contable</w:t>
            </w:r>
            <w:r>
              <w:rPr>
                <w:spacing w:val="-1"/>
                <w:sz w:val="16"/>
              </w:rPr>
              <w:t> </w:t>
            </w:r>
            <w:r>
              <w:rPr>
                <w:sz w:val="16"/>
              </w:rPr>
              <w:t>2024</w:t>
            </w:r>
            <w:r>
              <w:rPr>
                <w:rFonts w:ascii="Times New Roman"/>
                <w:sz w:val="16"/>
              </w:rPr>
              <w:tab/>
            </w:r>
            <w:r>
              <w:rPr>
                <w:sz w:val="16"/>
              </w:rPr>
              <w:t>25.439,68</w:t>
            </w:r>
          </w:p>
        </w:tc>
      </w:tr>
      <w:tr>
        <w:trPr>
          <w:trHeight w:val="213" w:hRule="atLeast"/>
        </w:trPr>
        <w:tc>
          <w:tcPr>
            <w:tcW w:w="3922" w:type="dxa"/>
          </w:tcPr>
          <w:p>
            <w:pPr>
              <w:pStyle w:val="TableParagraph"/>
              <w:spacing w:before="0"/>
              <w:rPr>
                <w:rFonts w:ascii="Times New Roman"/>
                <w:sz w:val="14"/>
              </w:rPr>
            </w:pPr>
          </w:p>
        </w:tc>
        <w:tc>
          <w:tcPr>
            <w:tcW w:w="1056" w:type="dxa"/>
          </w:tcPr>
          <w:p>
            <w:pPr>
              <w:pStyle w:val="TableParagraph"/>
              <w:spacing w:line="175" w:lineRule="exact" w:before="18"/>
              <w:ind w:left="68"/>
              <w:rPr>
                <w:sz w:val="16"/>
              </w:rPr>
            </w:pPr>
            <w:r>
              <w:rPr>
                <w:sz w:val="16"/>
              </w:rPr>
              <w:t>Aumentos</w:t>
            </w:r>
          </w:p>
        </w:tc>
        <w:tc>
          <w:tcPr>
            <w:tcW w:w="1133" w:type="dxa"/>
          </w:tcPr>
          <w:p>
            <w:pPr>
              <w:pStyle w:val="TableParagraph"/>
              <w:spacing w:line="175" w:lineRule="exact" w:before="18"/>
              <w:ind w:left="46" w:right="90"/>
              <w:jc w:val="center"/>
              <w:rPr>
                <w:sz w:val="16"/>
              </w:rPr>
            </w:pPr>
            <w:r>
              <w:rPr>
                <w:sz w:val="16"/>
              </w:rPr>
              <w:t>Disminuciones</w:t>
            </w:r>
          </w:p>
        </w:tc>
        <w:tc>
          <w:tcPr>
            <w:tcW w:w="1073" w:type="dxa"/>
          </w:tcPr>
          <w:p>
            <w:pPr>
              <w:pStyle w:val="TableParagraph"/>
              <w:spacing w:before="0"/>
              <w:rPr>
                <w:rFonts w:ascii="Times New Roman"/>
                <w:sz w:val="14"/>
              </w:rPr>
            </w:pPr>
          </w:p>
        </w:tc>
      </w:tr>
      <w:tr>
        <w:trPr>
          <w:trHeight w:val="225" w:hRule="atLeast"/>
        </w:trPr>
        <w:tc>
          <w:tcPr>
            <w:tcW w:w="3922" w:type="dxa"/>
            <w:vMerge w:val="restart"/>
          </w:tcPr>
          <w:p>
            <w:pPr>
              <w:pStyle w:val="TableParagraph"/>
              <w:spacing w:line="249" w:lineRule="auto" w:before="30"/>
              <w:ind w:left="69" w:right="1506"/>
              <w:rPr>
                <w:sz w:val="16"/>
              </w:rPr>
            </w:pPr>
            <w:r>
              <w:rPr>
                <w:sz w:val="16"/>
              </w:rPr>
              <w:t>Impuesto sobre beneficios Diferencias permanentes</w:t>
            </w:r>
          </w:p>
          <w:p>
            <w:pPr>
              <w:pStyle w:val="TableParagraph"/>
              <w:spacing w:before="64"/>
              <w:ind w:left="69"/>
              <w:rPr>
                <w:sz w:val="16"/>
              </w:rPr>
            </w:pPr>
            <w:r>
              <w:rPr>
                <w:sz w:val="16"/>
              </w:rPr>
              <w:t>Diferencias temporarias</w:t>
            </w:r>
          </w:p>
          <w:p>
            <w:pPr>
              <w:pStyle w:val="TableParagraph"/>
              <w:spacing w:line="175" w:lineRule="exact" w:before="68"/>
              <w:ind w:left="69"/>
              <w:rPr>
                <w:sz w:val="16"/>
              </w:rPr>
            </w:pPr>
            <w:r>
              <w:rPr>
                <w:sz w:val="16"/>
              </w:rPr>
              <w:t>Compensación bases negativas ejercicios anteriores</w:t>
            </w:r>
          </w:p>
        </w:tc>
        <w:tc>
          <w:tcPr>
            <w:tcW w:w="1056" w:type="dxa"/>
          </w:tcPr>
          <w:p>
            <w:pPr>
              <w:pStyle w:val="TableParagraph"/>
              <w:spacing w:before="0"/>
              <w:rPr>
                <w:rFonts w:ascii="Times New Roman"/>
                <w:sz w:val="16"/>
              </w:rPr>
            </w:pPr>
          </w:p>
        </w:tc>
        <w:tc>
          <w:tcPr>
            <w:tcW w:w="1133" w:type="dxa"/>
          </w:tcPr>
          <w:p>
            <w:pPr>
              <w:pStyle w:val="TableParagraph"/>
              <w:spacing w:before="0"/>
              <w:rPr>
                <w:rFonts w:ascii="Times New Roman"/>
                <w:sz w:val="16"/>
              </w:rPr>
            </w:pPr>
          </w:p>
        </w:tc>
        <w:tc>
          <w:tcPr>
            <w:tcW w:w="1073" w:type="dxa"/>
          </w:tcPr>
          <w:p>
            <w:pPr>
              <w:pStyle w:val="TableParagraph"/>
              <w:spacing w:before="0"/>
              <w:rPr>
                <w:rFonts w:ascii="Times New Roman"/>
                <w:sz w:val="16"/>
              </w:rPr>
            </w:pPr>
          </w:p>
        </w:tc>
      </w:tr>
      <w:tr>
        <w:trPr>
          <w:trHeight w:val="196" w:hRule="atLeast"/>
        </w:trPr>
        <w:tc>
          <w:tcPr>
            <w:tcW w:w="3922" w:type="dxa"/>
            <w:vMerge/>
            <w:tcBorders>
              <w:top w:val="nil"/>
            </w:tcBorders>
          </w:tcPr>
          <w:p>
            <w:pPr>
              <w:rPr>
                <w:sz w:val="2"/>
                <w:szCs w:val="2"/>
              </w:rPr>
            </w:pPr>
          </w:p>
        </w:tc>
        <w:tc>
          <w:tcPr>
            <w:tcW w:w="1056" w:type="dxa"/>
          </w:tcPr>
          <w:p>
            <w:pPr>
              <w:pStyle w:val="TableParagraph"/>
              <w:spacing w:before="0"/>
              <w:rPr>
                <w:rFonts w:ascii="Times New Roman"/>
                <w:sz w:val="12"/>
              </w:rPr>
            </w:pPr>
          </w:p>
        </w:tc>
        <w:tc>
          <w:tcPr>
            <w:tcW w:w="1133" w:type="dxa"/>
          </w:tcPr>
          <w:p>
            <w:pPr>
              <w:pStyle w:val="TableParagraph"/>
              <w:spacing w:before="0"/>
              <w:rPr>
                <w:rFonts w:ascii="Times New Roman"/>
                <w:sz w:val="12"/>
              </w:rPr>
            </w:pPr>
          </w:p>
        </w:tc>
        <w:tc>
          <w:tcPr>
            <w:tcW w:w="1073" w:type="dxa"/>
          </w:tcPr>
          <w:p>
            <w:pPr>
              <w:pStyle w:val="TableParagraph"/>
              <w:spacing w:before="0"/>
              <w:rPr>
                <w:rFonts w:ascii="Times New Roman"/>
                <w:sz w:val="12"/>
              </w:rPr>
            </w:pPr>
          </w:p>
        </w:tc>
      </w:tr>
      <w:tr>
        <w:trPr>
          <w:trHeight w:val="254" w:hRule="atLeast"/>
        </w:trPr>
        <w:tc>
          <w:tcPr>
            <w:tcW w:w="3922" w:type="dxa"/>
            <w:vMerge/>
            <w:tcBorders>
              <w:top w:val="nil"/>
            </w:tcBorders>
          </w:tcPr>
          <w:p>
            <w:pPr>
              <w:rPr>
                <w:sz w:val="2"/>
                <w:szCs w:val="2"/>
              </w:rPr>
            </w:pPr>
          </w:p>
        </w:tc>
        <w:tc>
          <w:tcPr>
            <w:tcW w:w="1056" w:type="dxa"/>
          </w:tcPr>
          <w:p>
            <w:pPr>
              <w:pStyle w:val="TableParagraph"/>
              <w:spacing w:before="0"/>
              <w:rPr>
                <w:rFonts w:ascii="Times New Roman"/>
                <w:sz w:val="16"/>
              </w:rPr>
            </w:pPr>
          </w:p>
        </w:tc>
        <w:tc>
          <w:tcPr>
            <w:tcW w:w="1133" w:type="dxa"/>
          </w:tcPr>
          <w:p>
            <w:pPr>
              <w:pStyle w:val="TableParagraph"/>
              <w:spacing w:before="0"/>
              <w:rPr>
                <w:rFonts w:ascii="Times New Roman"/>
                <w:sz w:val="16"/>
              </w:rPr>
            </w:pPr>
          </w:p>
        </w:tc>
        <w:tc>
          <w:tcPr>
            <w:tcW w:w="1073" w:type="dxa"/>
          </w:tcPr>
          <w:p>
            <w:pPr>
              <w:pStyle w:val="TableParagraph"/>
              <w:spacing w:before="0"/>
              <w:rPr>
                <w:rFonts w:ascii="Times New Roman"/>
                <w:sz w:val="16"/>
              </w:rPr>
            </w:pPr>
          </w:p>
        </w:tc>
      </w:tr>
      <w:tr>
        <w:trPr>
          <w:trHeight w:val="254" w:hRule="atLeast"/>
        </w:trPr>
        <w:tc>
          <w:tcPr>
            <w:tcW w:w="3922" w:type="dxa"/>
            <w:vMerge/>
            <w:tcBorders>
              <w:top w:val="nil"/>
            </w:tcBorders>
          </w:tcPr>
          <w:p>
            <w:pPr>
              <w:rPr>
                <w:sz w:val="2"/>
                <w:szCs w:val="2"/>
              </w:rPr>
            </w:pPr>
          </w:p>
        </w:tc>
        <w:tc>
          <w:tcPr>
            <w:tcW w:w="1056" w:type="dxa"/>
          </w:tcPr>
          <w:p>
            <w:pPr>
              <w:pStyle w:val="TableParagraph"/>
              <w:spacing w:before="0"/>
              <w:rPr>
                <w:rFonts w:ascii="Times New Roman"/>
                <w:sz w:val="16"/>
              </w:rPr>
            </w:pPr>
          </w:p>
        </w:tc>
        <w:tc>
          <w:tcPr>
            <w:tcW w:w="1133" w:type="dxa"/>
          </w:tcPr>
          <w:p>
            <w:pPr>
              <w:pStyle w:val="TableParagraph"/>
              <w:spacing w:before="0"/>
              <w:rPr>
                <w:rFonts w:ascii="Times New Roman"/>
                <w:sz w:val="16"/>
              </w:rPr>
            </w:pPr>
          </w:p>
        </w:tc>
        <w:tc>
          <w:tcPr>
            <w:tcW w:w="1073" w:type="dxa"/>
          </w:tcPr>
          <w:p>
            <w:pPr>
              <w:pStyle w:val="TableParagraph"/>
              <w:spacing w:before="0"/>
              <w:rPr>
                <w:rFonts w:ascii="Times New Roman"/>
                <w:sz w:val="16"/>
              </w:rPr>
            </w:pPr>
          </w:p>
        </w:tc>
      </w:tr>
      <w:tr>
        <w:trPr>
          <w:trHeight w:val="196" w:hRule="atLeast"/>
        </w:trPr>
        <w:tc>
          <w:tcPr>
            <w:tcW w:w="7184" w:type="dxa"/>
            <w:gridSpan w:val="4"/>
          </w:tcPr>
          <w:p>
            <w:pPr>
              <w:pStyle w:val="TableParagraph"/>
              <w:spacing w:line="175" w:lineRule="exact" w:before="1"/>
              <w:ind w:left="69"/>
              <w:rPr>
                <w:sz w:val="16"/>
              </w:rPr>
            </w:pPr>
            <w:r>
              <w:rPr>
                <w:sz w:val="16"/>
              </w:rPr>
              <w:t>BASE IMPONIBLE</w:t>
            </w:r>
          </w:p>
        </w:tc>
      </w:tr>
      <w:tr>
        <w:trPr>
          <w:trHeight w:val="225" w:hRule="atLeast"/>
        </w:trPr>
        <w:tc>
          <w:tcPr>
            <w:tcW w:w="7184" w:type="dxa"/>
            <w:gridSpan w:val="4"/>
          </w:tcPr>
          <w:p>
            <w:pPr>
              <w:pStyle w:val="TableParagraph"/>
              <w:tabs>
                <w:tab w:pos="6462" w:val="left" w:leader="none"/>
              </w:tabs>
              <w:spacing w:line="178" w:lineRule="exact" w:before="27"/>
              <w:ind w:left="69"/>
              <w:rPr>
                <w:sz w:val="16"/>
              </w:rPr>
            </w:pPr>
            <w:r>
              <w:rPr>
                <w:sz w:val="16"/>
              </w:rPr>
              <w:t>Resultado</w:t>
            </w:r>
            <w:r>
              <w:rPr>
                <w:spacing w:val="-2"/>
                <w:sz w:val="16"/>
              </w:rPr>
              <w:t> </w:t>
            </w:r>
            <w:r>
              <w:rPr>
                <w:sz w:val="16"/>
              </w:rPr>
              <w:t>contable</w:t>
            </w:r>
            <w:r>
              <w:rPr>
                <w:spacing w:val="-1"/>
                <w:sz w:val="16"/>
              </w:rPr>
              <w:t> </w:t>
            </w:r>
            <w:r>
              <w:rPr>
                <w:sz w:val="16"/>
              </w:rPr>
              <w:t>2024</w:t>
            </w:r>
            <w:r>
              <w:rPr>
                <w:rFonts w:ascii="Times New Roman"/>
                <w:sz w:val="16"/>
              </w:rPr>
              <w:tab/>
            </w:r>
            <w:r>
              <w:rPr>
                <w:sz w:val="16"/>
              </w:rPr>
              <w:t>25.439,68</w:t>
            </w:r>
          </w:p>
        </w:tc>
      </w:tr>
      <w:tr>
        <w:trPr>
          <w:trHeight w:val="194" w:hRule="atLeast"/>
        </w:trPr>
        <w:tc>
          <w:tcPr>
            <w:tcW w:w="3922" w:type="dxa"/>
          </w:tcPr>
          <w:p>
            <w:pPr>
              <w:pStyle w:val="TableParagraph"/>
              <w:spacing w:before="0"/>
              <w:rPr>
                <w:rFonts w:ascii="Times New Roman"/>
                <w:sz w:val="12"/>
              </w:rPr>
            </w:pPr>
          </w:p>
        </w:tc>
        <w:tc>
          <w:tcPr>
            <w:tcW w:w="1056" w:type="dxa"/>
          </w:tcPr>
          <w:p>
            <w:pPr>
              <w:pStyle w:val="TableParagraph"/>
              <w:spacing w:line="174" w:lineRule="exact" w:before="0"/>
              <w:ind w:left="69"/>
              <w:rPr>
                <w:sz w:val="16"/>
              </w:rPr>
            </w:pPr>
            <w:r>
              <w:rPr>
                <w:sz w:val="16"/>
              </w:rPr>
              <w:t>Aumentos</w:t>
            </w:r>
          </w:p>
        </w:tc>
        <w:tc>
          <w:tcPr>
            <w:tcW w:w="1133" w:type="dxa"/>
          </w:tcPr>
          <w:p>
            <w:pPr>
              <w:pStyle w:val="TableParagraph"/>
              <w:spacing w:line="174" w:lineRule="exact" w:before="0"/>
              <w:ind w:left="46" w:right="90"/>
              <w:jc w:val="center"/>
              <w:rPr>
                <w:sz w:val="16"/>
              </w:rPr>
            </w:pPr>
            <w:r>
              <w:rPr>
                <w:sz w:val="16"/>
              </w:rPr>
              <w:t>Disminuciones</w:t>
            </w:r>
          </w:p>
        </w:tc>
        <w:tc>
          <w:tcPr>
            <w:tcW w:w="1073" w:type="dxa"/>
          </w:tcPr>
          <w:p>
            <w:pPr>
              <w:pStyle w:val="TableParagraph"/>
              <w:spacing w:before="0"/>
              <w:rPr>
                <w:rFonts w:ascii="Times New Roman"/>
                <w:sz w:val="12"/>
              </w:rPr>
            </w:pPr>
          </w:p>
        </w:tc>
      </w:tr>
      <w:tr>
        <w:trPr>
          <w:trHeight w:val="196" w:hRule="atLeast"/>
        </w:trPr>
        <w:tc>
          <w:tcPr>
            <w:tcW w:w="3922" w:type="dxa"/>
            <w:vMerge w:val="restart"/>
          </w:tcPr>
          <w:p>
            <w:pPr>
              <w:pStyle w:val="TableParagraph"/>
              <w:spacing w:line="252" w:lineRule="auto" w:before="1"/>
              <w:ind w:left="69" w:right="1506"/>
              <w:rPr>
                <w:sz w:val="16"/>
              </w:rPr>
            </w:pPr>
            <w:r>
              <w:rPr>
                <w:sz w:val="16"/>
              </w:rPr>
              <w:t>Impuesto sobre beneficios Diferencias permanentes Diferencias temporarias</w:t>
            </w:r>
          </w:p>
          <w:p>
            <w:pPr>
              <w:pStyle w:val="TableParagraph"/>
              <w:spacing w:line="177" w:lineRule="exact" w:before="0"/>
              <w:ind w:left="69"/>
              <w:rPr>
                <w:sz w:val="16"/>
              </w:rPr>
            </w:pPr>
            <w:r>
              <w:rPr>
                <w:sz w:val="16"/>
              </w:rPr>
              <w:t>Compensación bases negativas ejercicios anteriores</w:t>
            </w:r>
          </w:p>
        </w:tc>
        <w:tc>
          <w:tcPr>
            <w:tcW w:w="1056" w:type="dxa"/>
          </w:tcPr>
          <w:p>
            <w:pPr>
              <w:pStyle w:val="TableParagraph"/>
              <w:spacing w:before="0"/>
              <w:rPr>
                <w:rFonts w:ascii="Times New Roman"/>
                <w:sz w:val="12"/>
              </w:rPr>
            </w:pPr>
          </w:p>
        </w:tc>
        <w:tc>
          <w:tcPr>
            <w:tcW w:w="1133" w:type="dxa"/>
          </w:tcPr>
          <w:p>
            <w:pPr>
              <w:pStyle w:val="TableParagraph"/>
              <w:spacing w:before="0"/>
              <w:rPr>
                <w:rFonts w:ascii="Times New Roman"/>
                <w:sz w:val="12"/>
              </w:rPr>
            </w:pPr>
          </w:p>
        </w:tc>
        <w:tc>
          <w:tcPr>
            <w:tcW w:w="1073" w:type="dxa"/>
          </w:tcPr>
          <w:p>
            <w:pPr>
              <w:pStyle w:val="TableParagraph"/>
              <w:spacing w:before="0"/>
              <w:rPr>
                <w:rFonts w:ascii="Times New Roman"/>
                <w:sz w:val="12"/>
              </w:rPr>
            </w:pPr>
          </w:p>
        </w:tc>
      </w:tr>
      <w:tr>
        <w:trPr>
          <w:trHeight w:val="194" w:hRule="atLeast"/>
        </w:trPr>
        <w:tc>
          <w:tcPr>
            <w:tcW w:w="3922" w:type="dxa"/>
            <w:vMerge/>
            <w:tcBorders>
              <w:top w:val="nil"/>
            </w:tcBorders>
          </w:tcPr>
          <w:p>
            <w:pPr>
              <w:rPr>
                <w:sz w:val="2"/>
                <w:szCs w:val="2"/>
              </w:rPr>
            </w:pPr>
          </w:p>
        </w:tc>
        <w:tc>
          <w:tcPr>
            <w:tcW w:w="1056" w:type="dxa"/>
          </w:tcPr>
          <w:p>
            <w:pPr>
              <w:pStyle w:val="TableParagraph"/>
              <w:spacing w:before="0"/>
              <w:rPr>
                <w:rFonts w:ascii="Times New Roman"/>
                <w:sz w:val="12"/>
              </w:rPr>
            </w:pPr>
          </w:p>
        </w:tc>
        <w:tc>
          <w:tcPr>
            <w:tcW w:w="1133" w:type="dxa"/>
          </w:tcPr>
          <w:p>
            <w:pPr>
              <w:pStyle w:val="TableParagraph"/>
              <w:spacing w:before="0"/>
              <w:rPr>
                <w:rFonts w:ascii="Times New Roman"/>
                <w:sz w:val="12"/>
              </w:rPr>
            </w:pPr>
          </w:p>
        </w:tc>
        <w:tc>
          <w:tcPr>
            <w:tcW w:w="1073" w:type="dxa"/>
          </w:tcPr>
          <w:p>
            <w:pPr>
              <w:pStyle w:val="TableParagraph"/>
              <w:spacing w:before="0"/>
              <w:rPr>
                <w:rFonts w:ascii="Times New Roman"/>
                <w:sz w:val="12"/>
              </w:rPr>
            </w:pPr>
          </w:p>
        </w:tc>
      </w:tr>
      <w:tr>
        <w:trPr>
          <w:trHeight w:val="196" w:hRule="atLeast"/>
        </w:trPr>
        <w:tc>
          <w:tcPr>
            <w:tcW w:w="3922" w:type="dxa"/>
            <w:vMerge/>
            <w:tcBorders>
              <w:top w:val="nil"/>
            </w:tcBorders>
          </w:tcPr>
          <w:p>
            <w:pPr>
              <w:rPr>
                <w:sz w:val="2"/>
                <w:szCs w:val="2"/>
              </w:rPr>
            </w:pPr>
          </w:p>
        </w:tc>
        <w:tc>
          <w:tcPr>
            <w:tcW w:w="1056" w:type="dxa"/>
          </w:tcPr>
          <w:p>
            <w:pPr>
              <w:pStyle w:val="TableParagraph"/>
              <w:spacing w:before="0"/>
              <w:rPr>
                <w:rFonts w:ascii="Times New Roman"/>
                <w:sz w:val="12"/>
              </w:rPr>
            </w:pPr>
          </w:p>
        </w:tc>
        <w:tc>
          <w:tcPr>
            <w:tcW w:w="1133" w:type="dxa"/>
          </w:tcPr>
          <w:p>
            <w:pPr>
              <w:pStyle w:val="TableParagraph"/>
              <w:spacing w:before="0"/>
              <w:rPr>
                <w:rFonts w:ascii="Times New Roman"/>
                <w:sz w:val="12"/>
              </w:rPr>
            </w:pPr>
          </w:p>
        </w:tc>
        <w:tc>
          <w:tcPr>
            <w:tcW w:w="1073" w:type="dxa"/>
          </w:tcPr>
          <w:p>
            <w:pPr>
              <w:pStyle w:val="TableParagraph"/>
              <w:spacing w:before="0"/>
              <w:rPr>
                <w:rFonts w:ascii="Times New Roman"/>
                <w:sz w:val="12"/>
              </w:rPr>
            </w:pPr>
          </w:p>
        </w:tc>
      </w:tr>
      <w:tr>
        <w:trPr>
          <w:trHeight w:val="196" w:hRule="atLeast"/>
        </w:trPr>
        <w:tc>
          <w:tcPr>
            <w:tcW w:w="3922" w:type="dxa"/>
            <w:vMerge/>
            <w:tcBorders>
              <w:top w:val="nil"/>
            </w:tcBorders>
          </w:tcPr>
          <w:p>
            <w:pPr>
              <w:rPr>
                <w:sz w:val="2"/>
                <w:szCs w:val="2"/>
              </w:rPr>
            </w:pPr>
          </w:p>
        </w:tc>
        <w:tc>
          <w:tcPr>
            <w:tcW w:w="1056" w:type="dxa"/>
          </w:tcPr>
          <w:p>
            <w:pPr>
              <w:pStyle w:val="TableParagraph"/>
              <w:spacing w:before="0"/>
              <w:rPr>
                <w:rFonts w:ascii="Times New Roman"/>
                <w:sz w:val="12"/>
              </w:rPr>
            </w:pPr>
          </w:p>
        </w:tc>
        <w:tc>
          <w:tcPr>
            <w:tcW w:w="1133" w:type="dxa"/>
          </w:tcPr>
          <w:p>
            <w:pPr>
              <w:pStyle w:val="TableParagraph"/>
              <w:spacing w:before="0"/>
              <w:rPr>
                <w:rFonts w:ascii="Times New Roman"/>
                <w:sz w:val="12"/>
              </w:rPr>
            </w:pPr>
          </w:p>
        </w:tc>
        <w:tc>
          <w:tcPr>
            <w:tcW w:w="1073" w:type="dxa"/>
          </w:tcPr>
          <w:p>
            <w:pPr>
              <w:pStyle w:val="TableParagraph"/>
              <w:spacing w:before="0"/>
              <w:rPr>
                <w:rFonts w:ascii="Times New Roman"/>
                <w:sz w:val="12"/>
              </w:rPr>
            </w:pPr>
          </w:p>
        </w:tc>
      </w:tr>
      <w:tr>
        <w:trPr>
          <w:trHeight w:val="194" w:hRule="atLeast"/>
        </w:trPr>
        <w:tc>
          <w:tcPr>
            <w:tcW w:w="7184" w:type="dxa"/>
            <w:gridSpan w:val="4"/>
          </w:tcPr>
          <w:p>
            <w:pPr>
              <w:pStyle w:val="TableParagraph"/>
              <w:tabs>
                <w:tab w:pos="6462" w:val="left" w:leader="none"/>
              </w:tabs>
              <w:spacing w:line="174" w:lineRule="exact" w:before="0"/>
              <w:ind w:left="69"/>
              <w:rPr>
                <w:sz w:val="16"/>
              </w:rPr>
            </w:pPr>
            <w:r>
              <w:rPr>
                <w:sz w:val="16"/>
              </w:rPr>
              <w:t>BASE</w:t>
            </w:r>
            <w:r>
              <w:rPr>
                <w:spacing w:val="-2"/>
                <w:sz w:val="16"/>
              </w:rPr>
              <w:t> </w:t>
            </w:r>
            <w:r>
              <w:rPr>
                <w:sz w:val="16"/>
              </w:rPr>
              <w:t>IMPONIBLE</w:t>
            </w:r>
            <w:r>
              <w:rPr>
                <w:rFonts w:ascii="Times New Roman"/>
                <w:sz w:val="16"/>
              </w:rPr>
              <w:tab/>
            </w:r>
            <w:r>
              <w:rPr>
                <w:sz w:val="16"/>
              </w:rPr>
              <w:t>25.439,68</w:t>
            </w:r>
          </w:p>
        </w:tc>
      </w:tr>
    </w:tbl>
    <w:p>
      <w:pPr>
        <w:pStyle w:val="BodyText"/>
        <w:spacing w:before="5"/>
        <w:rPr>
          <w:b/>
          <w:sz w:val="38"/>
        </w:rPr>
      </w:pPr>
    </w:p>
    <w:p>
      <w:pPr>
        <w:pStyle w:val="BodyText"/>
        <w:spacing w:line="276" w:lineRule="auto"/>
        <w:ind w:left="121" w:right="1030"/>
        <w:jc w:val="both"/>
      </w:pPr>
      <w:r>
        <w:rPr/>
        <w:t>La Fundación realiza actividades de las que obtiene rentas consideradas exentas, según la Ley 49/2002 de 23 de diciembre. En cuanto a la base imponible del Impuesto de Sociedades, se establece que su determinación únicamente serán computables los ingresos y los gastos provenientes de explotaciones no exentas. Por lo tanto, la Fundación se encuentra exenta de tributar por ello.</w:t>
      </w:r>
    </w:p>
    <w:p>
      <w:pPr>
        <w:pStyle w:val="BodyText"/>
        <w:spacing w:before="3"/>
        <w:rPr>
          <w:sz w:val="16"/>
        </w:rPr>
      </w:pPr>
    </w:p>
    <w:p>
      <w:pPr>
        <w:pStyle w:val="BodyText"/>
        <w:ind w:left="121"/>
      </w:pPr>
      <w:r>
        <w:rPr/>
        <w:t>El detalle de los saldos mantenidos con las Administraciones es el siguiente:</w:t>
      </w:r>
    </w:p>
    <w:p>
      <w:pPr>
        <w:pStyle w:val="BodyText"/>
        <w:spacing w:before="2" w:after="1"/>
      </w:pPr>
    </w:p>
    <w:tbl>
      <w:tblPr>
        <w:tblW w:w="0" w:type="auto"/>
        <w:jc w:val="left"/>
        <w:tblInd w:w="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01"/>
        <w:gridCol w:w="1128"/>
        <w:gridCol w:w="1272"/>
        <w:gridCol w:w="1128"/>
        <w:gridCol w:w="1272"/>
      </w:tblGrid>
      <w:tr>
        <w:trPr>
          <w:trHeight w:val="299" w:hRule="atLeast"/>
        </w:trPr>
        <w:tc>
          <w:tcPr>
            <w:tcW w:w="2201" w:type="dxa"/>
            <w:vMerge w:val="restart"/>
            <w:tcBorders>
              <w:top w:val="nil"/>
              <w:left w:val="nil"/>
            </w:tcBorders>
          </w:tcPr>
          <w:p>
            <w:pPr>
              <w:pStyle w:val="TableParagraph"/>
              <w:spacing w:before="0"/>
              <w:rPr>
                <w:rFonts w:ascii="Times New Roman"/>
                <w:sz w:val="16"/>
              </w:rPr>
            </w:pPr>
          </w:p>
        </w:tc>
        <w:tc>
          <w:tcPr>
            <w:tcW w:w="2400" w:type="dxa"/>
            <w:gridSpan w:val="2"/>
          </w:tcPr>
          <w:p>
            <w:pPr>
              <w:pStyle w:val="TableParagraph"/>
              <w:spacing w:line="175" w:lineRule="exact" w:before="104"/>
              <w:ind w:left="794" w:right="783"/>
              <w:jc w:val="center"/>
              <w:rPr>
                <w:sz w:val="16"/>
              </w:rPr>
            </w:pPr>
            <w:r>
              <w:rPr>
                <w:sz w:val="16"/>
              </w:rPr>
              <w:t>31/12/2024</w:t>
            </w:r>
          </w:p>
        </w:tc>
        <w:tc>
          <w:tcPr>
            <w:tcW w:w="2400" w:type="dxa"/>
            <w:gridSpan w:val="2"/>
          </w:tcPr>
          <w:p>
            <w:pPr>
              <w:pStyle w:val="TableParagraph"/>
              <w:spacing w:line="175" w:lineRule="exact" w:before="104"/>
              <w:ind w:left="794" w:right="783"/>
              <w:jc w:val="center"/>
              <w:rPr>
                <w:sz w:val="16"/>
              </w:rPr>
            </w:pPr>
            <w:r>
              <w:rPr>
                <w:sz w:val="16"/>
              </w:rPr>
              <w:t>31/12/2023</w:t>
            </w:r>
          </w:p>
        </w:tc>
      </w:tr>
      <w:tr>
        <w:trPr>
          <w:trHeight w:val="299" w:hRule="atLeast"/>
        </w:trPr>
        <w:tc>
          <w:tcPr>
            <w:tcW w:w="2201" w:type="dxa"/>
            <w:vMerge/>
            <w:tcBorders>
              <w:top w:val="nil"/>
              <w:left w:val="nil"/>
            </w:tcBorders>
          </w:tcPr>
          <w:p>
            <w:pPr>
              <w:rPr>
                <w:sz w:val="2"/>
                <w:szCs w:val="2"/>
              </w:rPr>
            </w:pPr>
          </w:p>
        </w:tc>
        <w:tc>
          <w:tcPr>
            <w:tcW w:w="1128" w:type="dxa"/>
          </w:tcPr>
          <w:p>
            <w:pPr>
              <w:pStyle w:val="TableParagraph"/>
              <w:spacing w:line="175" w:lineRule="exact" w:before="104"/>
              <w:ind w:left="278"/>
              <w:rPr>
                <w:sz w:val="16"/>
              </w:rPr>
            </w:pPr>
            <w:r>
              <w:rPr>
                <w:sz w:val="16"/>
              </w:rPr>
              <w:t>A Cobrar</w:t>
            </w:r>
          </w:p>
        </w:tc>
        <w:tc>
          <w:tcPr>
            <w:tcW w:w="1272" w:type="dxa"/>
          </w:tcPr>
          <w:p>
            <w:pPr>
              <w:pStyle w:val="TableParagraph"/>
              <w:spacing w:line="175" w:lineRule="exact" w:before="104"/>
              <w:ind w:left="385"/>
              <w:rPr>
                <w:sz w:val="16"/>
              </w:rPr>
            </w:pPr>
            <w:r>
              <w:rPr>
                <w:sz w:val="16"/>
              </w:rPr>
              <w:t>A Pagar</w:t>
            </w:r>
          </w:p>
        </w:tc>
        <w:tc>
          <w:tcPr>
            <w:tcW w:w="1128" w:type="dxa"/>
          </w:tcPr>
          <w:p>
            <w:pPr>
              <w:pStyle w:val="TableParagraph"/>
              <w:spacing w:line="175" w:lineRule="exact" w:before="104"/>
              <w:ind w:left="277"/>
              <w:rPr>
                <w:sz w:val="16"/>
              </w:rPr>
            </w:pPr>
            <w:r>
              <w:rPr>
                <w:sz w:val="16"/>
              </w:rPr>
              <w:t>A Cobrar</w:t>
            </w:r>
          </w:p>
        </w:tc>
        <w:tc>
          <w:tcPr>
            <w:tcW w:w="1272" w:type="dxa"/>
          </w:tcPr>
          <w:p>
            <w:pPr>
              <w:pStyle w:val="TableParagraph"/>
              <w:spacing w:line="175" w:lineRule="exact" w:before="104"/>
              <w:ind w:left="385"/>
              <w:rPr>
                <w:sz w:val="16"/>
              </w:rPr>
            </w:pPr>
            <w:r>
              <w:rPr>
                <w:sz w:val="16"/>
              </w:rPr>
              <w:t>A Pagar</w:t>
            </w:r>
          </w:p>
        </w:tc>
      </w:tr>
      <w:tr>
        <w:trPr>
          <w:trHeight w:val="302" w:hRule="atLeast"/>
        </w:trPr>
        <w:tc>
          <w:tcPr>
            <w:tcW w:w="2201" w:type="dxa"/>
          </w:tcPr>
          <w:p>
            <w:pPr>
              <w:pStyle w:val="TableParagraph"/>
              <w:spacing w:line="178" w:lineRule="exact" w:before="104"/>
              <w:ind w:left="69"/>
              <w:rPr>
                <w:sz w:val="16"/>
              </w:rPr>
            </w:pPr>
            <w:r>
              <w:rPr>
                <w:sz w:val="16"/>
              </w:rPr>
              <w:t>Cuotas a la Seguridad Social</w:t>
            </w:r>
          </w:p>
        </w:tc>
        <w:tc>
          <w:tcPr>
            <w:tcW w:w="1128" w:type="dxa"/>
          </w:tcPr>
          <w:p>
            <w:pPr>
              <w:pStyle w:val="TableParagraph"/>
              <w:spacing w:line="178" w:lineRule="exact" w:before="104"/>
              <w:ind w:right="56"/>
              <w:jc w:val="right"/>
              <w:rPr>
                <w:sz w:val="16"/>
              </w:rPr>
            </w:pPr>
            <w:r>
              <w:rPr>
                <w:w w:val="100"/>
                <w:sz w:val="16"/>
              </w:rPr>
              <w:t>-</w:t>
            </w:r>
          </w:p>
        </w:tc>
        <w:tc>
          <w:tcPr>
            <w:tcW w:w="1272" w:type="dxa"/>
          </w:tcPr>
          <w:p>
            <w:pPr>
              <w:pStyle w:val="TableParagraph"/>
              <w:spacing w:line="178" w:lineRule="exact" w:before="104"/>
              <w:ind w:right="55"/>
              <w:jc w:val="right"/>
              <w:rPr>
                <w:sz w:val="16"/>
              </w:rPr>
            </w:pPr>
            <w:r>
              <w:rPr>
                <w:sz w:val="16"/>
              </w:rPr>
              <w:t>6.356,43</w:t>
            </w:r>
          </w:p>
        </w:tc>
        <w:tc>
          <w:tcPr>
            <w:tcW w:w="1128" w:type="dxa"/>
          </w:tcPr>
          <w:p>
            <w:pPr>
              <w:pStyle w:val="TableParagraph"/>
              <w:spacing w:line="178" w:lineRule="exact" w:before="104"/>
              <w:ind w:right="56"/>
              <w:jc w:val="right"/>
              <w:rPr>
                <w:sz w:val="16"/>
              </w:rPr>
            </w:pPr>
            <w:r>
              <w:rPr>
                <w:w w:val="100"/>
                <w:sz w:val="16"/>
              </w:rPr>
              <w:t>-</w:t>
            </w:r>
          </w:p>
        </w:tc>
        <w:tc>
          <w:tcPr>
            <w:tcW w:w="1272" w:type="dxa"/>
          </w:tcPr>
          <w:p>
            <w:pPr>
              <w:pStyle w:val="TableParagraph"/>
              <w:spacing w:line="178" w:lineRule="exact" w:before="104"/>
              <w:ind w:right="55"/>
              <w:jc w:val="right"/>
              <w:rPr>
                <w:sz w:val="16"/>
              </w:rPr>
            </w:pPr>
            <w:r>
              <w:rPr>
                <w:sz w:val="16"/>
              </w:rPr>
              <w:t>7.357,18</w:t>
            </w:r>
          </w:p>
        </w:tc>
      </w:tr>
      <w:tr>
        <w:trPr>
          <w:trHeight w:val="299" w:hRule="atLeast"/>
        </w:trPr>
        <w:tc>
          <w:tcPr>
            <w:tcW w:w="2201" w:type="dxa"/>
          </w:tcPr>
          <w:p>
            <w:pPr>
              <w:pStyle w:val="TableParagraph"/>
              <w:spacing w:line="178" w:lineRule="exact" w:before="102"/>
              <w:ind w:left="69"/>
              <w:rPr>
                <w:sz w:val="16"/>
              </w:rPr>
            </w:pPr>
            <w:r>
              <w:rPr>
                <w:sz w:val="16"/>
              </w:rPr>
              <w:t>Retención por IRPF</w:t>
            </w:r>
          </w:p>
        </w:tc>
        <w:tc>
          <w:tcPr>
            <w:tcW w:w="1128" w:type="dxa"/>
          </w:tcPr>
          <w:p>
            <w:pPr>
              <w:pStyle w:val="TableParagraph"/>
              <w:spacing w:line="178" w:lineRule="exact" w:before="102"/>
              <w:ind w:right="56"/>
              <w:jc w:val="right"/>
              <w:rPr>
                <w:sz w:val="16"/>
              </w:rPr>
            </w:pPr>
            <w:r>
              <w:rPr>
                <w:w w:val="100"/>
                <w:sz w:val="16"/>
              </w:rPr>
              <w:t>-</w:t>
            </w:r>
          </w:p>
        </w:tc>
        <w:tc>
          <w:tcPr>
            <w:tcW w:w="1272" w:type="dxa"/>
          </w:tcPr>
          <w:p>
            <w:pPr>
              <w:pStyle w:val="TableParagraph"/>
              <w:spacing w:line="178" w:lineRule="exact" w:before="102"/>
              <w:ind w:right="55"/>
              <w:jc w:val="right"/>
              <w:rPr>
                <w:sz w:val="16"/>
              </w:rPr>
            </w:pPr>
            <w:r>
              <w:rPr>
                <w:sz w:val="16"/>
              </w:rPr>
              <w:t>3.784,39</w:t>
            </w:r>
          </w:p>
        </w:tc>
        <w:tc>
          <w:tcPr>
            <w:tcW w:w="1128" w:type="dxa"/>
          </w:tcPr>
          <w:p>
            <w:pPr>
              <w:pStyle w:val="TableParagraph"/>
              <w:spacing w:line="178" w:lineRule="exact" w:before="102"/>
              <w:ind w:right="56"/>
              <w:jc w:val="right"/>
              <w:rPr>
                <w:sz w:val="16"/>
              </w:rPr>
            </w:pPr>
            <w:r>
              <w:rPr>
                <w:w w:val="100"/>
                <w:sz w:val="16"/>
              </w:rPr>
              <w:t>-</w:t>
            </w:r>
          </w:p>
        </w:tc>
        <w:tc>
          <w:tcPr>
            <w:tcW w:w="1272" w:type="dxa"/>
          </w:tcPr>
          <w:p>
            <w:pPr>
              <w:pStyle w:val="TableParagraph"/>
              <w:spacing w:line="178" w:lineRule="exact" w:before="102"/>
              <w:ind w:right="55"/>
              <w:jc w:val="right"/>
              <w:rPr>
                <w:sz w:val="16"/>
              </w:rPr>
            </w:pPr>
            <w:r>
              <w:rPr>
                <w:sz w:val="16"/>
              </w:rPr>
              <w:t>4.118,40</w:t>
            </w:r>
          </w:p>
        </w:tc>
      </w:tr>
      <w:tr>
        <w:trPr>
          <w:trHeight w:val="299" w:hRule="atLeast"/>
        </w:trPr>
        <w:tc>
          <w:tcPr>
            <w:tcW w:w="2201" w:type="dxa"/>
          </w:tcPr>
          <w:p>
            <w:pPr>
              <w:pStyle w:val="TableParagraph"/>
              <w:spacing w:line="175" w:lineRule="exact" w:before="104"/>
              <w:ind w:left="69"/>
              <w:rPr>
                <w:b/>
                <w:sz w:val="16"/>
              </w:rPr>
            </w:pPr>
            <w:r>
              <w:rPr>
                <w:b/>
                <w:sz w:val="16"/>
              </w:rPr>
              <w:t>Totales</w:t>
            </w:r>
          </w:p>
        </w:tc>
        <w:tc>
          <w:tcPr>
            <w:tcW w:w="1128" w:type="dxa"/>
          </w:tcPr>
          <w:p>
            <w:pPr>
              <w:pStyle w:val="TableParagraph"/>
              <w:spacing w:line="175" w:lineRule="exact" w:before="104"/>
              <w:ind w:right="56"/>
              <w:jc w:val="right"/>
              <w:rPr>
                <w:sz w:val="16"/>
              </w:rPr>
            </w:pPr>
            <w:r>
              <w:rPr>
                <w:w w:val="100"/>
                <w:sz w:val="16"/>
              </w:rPr>
              <w:t>-</w:t>
            </w:r>
          </w:p>
        </w:tc>
        <w:tc>
          <w:tcPr>
            <w:tcW w:w="1272" w:type="dxa"/>
          </w:tcPr>
          <w:p>
            <w:pPr>
              <w:pStyle w:val="TableParagraph"/>
              <w:spacing w:line="175" w:lineRule="exact" w:before="104"/>
              <w:ind w:right="55"/>
              <w:jc w:val="right"/>
              <w:rPr>
                <w:sz w:val="16"/>
              </w:rPr>
            </w:pPr>
            <w:r>
              <w:rPr>
                <w:sz w:val="16"/>
              </w:rPr>
              <w:t>10.140,82</w:t>
            </w:r>
          </w:p>
        </w:tc>
        <w:tc>
          <w:tcPr>
            <w:tcW w:w="1128" w:type="dxa"/>
          </w:tcPr>
          <w:p>
            <w:pPr>
              <w:pStyle w:val="TableParagraph"/>
              <w:spacing w:line="175" w:lineRule="exact" w:before="104"/>
              <w:ind w:right="56"/>
              <w:jc w:val="right"/>
              <w:rPr>
                <w:sz w:val="16"/>
              </w:rPr>
            </w:pPr>
            <w:r>
              <w:rPr>
                <w:w w:val="100"/>
                <w:sz w:val="16"/>
              </w:rPr>
              <w:t>-</w:t>
            </w:r>
          </w:p>
        </w:tc>
        <w:tc>
          <w:tcPr>
            <w:tcW w:w="1272" w:type="dxa"/>
          </w:tcPr>
          <w:p>
            <w:pPr>
              <w:pStyle w:val="TableParagraph"/>
              <w:spacing w:line="175" w:lineRule="exact" w:before="104"/>
              <w:ind w:right="55"/>
              <w:jc w:val="right"/>
              <w:rPr>
                <w:sz w:val="16"/>
              </w:rPr>
            </w:pPr>
            <w:r>
              <w:rPr>
                <w:sz w:val="16"/>
              </w:rPr>
              <w:t>11.475,58</w:t>
            </w:r>
          </w:p>
        </w:tc>
      </w:tr>
    </w:tbl>
    <w:p>
      <w:pPr>
        <w:pStyle w:val="BodyText"/>
        <w:rPr>
          <w:sz w:val="18"/>
        </w:rPr>
      </w:pPr>
    </w:p>
    <w:p>
      <w:pPr>
        <w:pStyle w:val="BodyText"/>
        <w:rPr>
          <w:sz w:val="18"/>
        </w:rPr>
      </w:pPr>
    </w:p>
    <w:p>
      <w:pPr>
        <w:pStyle w:val="BodyText"/>
        <w:rPr>
          <w:sz w:val="18"/>
        </w:rPr>
      </w:pPr>
    </w:p>
    <w:p>
      <w:pPr>
        <w:pStyle w:val="BodyText"/>
        <w:rPr>
          <w:sz w:val="18"/>
        </w:rPr>
      </w:pPr>
    </w:p>
    <w:p>
      <w:pPr>
        <w:pStyle w:val="Heading1"/>
        <w:numPr>
          <w:ilvl w:val="0"/>
          <w:numId w:val="12"/>
        </w:numPr>
        <w:tabs>
          <w:tab w:pos="687" w:val="left" w:leader="none"/>
          <w:tab w:pos="688" w:val="left" w:leader="none"/>
        </w:tabs>
        <w:spacing w:line="240" w:lineRule="auto" w:before="133" w:after="0"/>
        <w:ind w:left="687" w:right="0" w:hanging="567"/>
        <w:jc w:val="left"/>
      </w:pPr>
      <w:r>
        <w:rPr/>
        <w:t>INGRESOS Y</w:t>
      </w:r>
      <w:r>
        <w:rPr>
          <w:spacing w:val="-3"/>
        </w:rPr>
        <w:t> </w:t>
      </w:r>
      <w:r>
        <w:rPr/>
        <w:t>GASTOS.</w:t>
      </w:r>
    </w:p>
    <w:p>
      <w:pPr>
        <w:pStyle w:val="BodyText"/>
        <w:spacing w:before="11"/>
        <w:rPr>
          <w:b/>
          <w:sz w:val="22"/>
        </w:rPr>
      </w:pPr>
    </w:p>
    <w:p>
      <w:pPr>
        <w:pStyle w:val="BodyText"/>
        <w:ind w:left="121"/>
      </w:pPr>
      <w:r>
        <w:rPr>
          <w:color w:val="49302F"/>
        </w:rPr>
        <w:t>El detalle </w:t>
      </w:r>
      <w:r>
        <w:rPr/>
        <w:t>de la cuenta de resultados “Ayudas monetarias” es el siguiente:</w:t>
      </w:r>
    </w:p>
    <w:p>
      <w:pPr>
        <w:pStyle w:val="BodyText"/>
        <w:spacing w:before="10"/>
        <w:rPr>
          <w:sz w:val="25"/>
        </w:rPr>
      </w:pPr>
    </w:p>
    <w:tbl>
      <w:tblPr>
        <w:tblW w:w="0" w:type="auto"/>
        <w:jc w:val="left"/>
        <w:tblInd w:w="7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215"/>
        <w:gridCol w:w="1526"/>
        <w:gridCol w:w="1665"/>
      </w:tblGrid>
      <w:tr>
        <w:trPr>
          <w:trHeight w:val="218" w:hRule="atLeast"/>
        </w:trPr>
        <w:tc>
          <w:tcPr>
            <w:tcW w:w="5215" w:type="dxa"/>
          </w:tcPr>
          <w:p>
            <w:pPr>
              <w:pStyle w:val="TableParagraph"/>
              <w:spacing w:line="198" w:lineRule="exact" w:before="0"/>
              <w:ind w:left="1085"/>
              <w:rPr>
                <w:b/>
                <w:sz w:val="19"/>
              </w:rPr>
            </w:pPr>
            <w:r>
              <w:rPr>
                <w:b/>
                <w:sz w:val="19"/>
              </w:rPr>
              <w:t>AYUDAS MONETARIAS POR ACTIVIDADES</w:t>
            </w:r>
          </w:p>
        </w:tc>
        <w:tc>
          <w:tcPr>
            <w:tcW w:w="1526" w:type="dxa"/>
          </w:tcPr>
          <w:p>
            <w:pPr>
              <w:pStyle w:val="TableParagraph"/>
              <w:spacing w:line="198" w:lineRule="exact" w:before="0"/>
              <w:ind w:left="264"/>
              <w:rPr>
                <w:sz w:val="19"/>
              </w:rPr>
            </w:pPr>
            <w:r>
              <w:rPr>
                <w:sz w:val="19"/>
              </w:rPr>
              <w:t>Ejercicio 2024</w:t>
            </w:r>
          </w:p>
        </w:tc>
        <w:tc>
          <w:tcPr>
            <w:tcW w:w="1665" w:type="dxa"/>
          </w:tcPr>
          <w:p>
            <w:pPr>
              <w:pStyle w:val="TableParagraph"/>
              <w:spacing w:line="198" w:lineRule="exact" w:before="0"/>
              <w:ind w:left="334"/>
              <w:rPr>
                <w:sz w:val="19"/>
              </w:rPr>
            </w:pPr>
            <w:r>
              <w:rPr>
                <w:sz w:val="19"/>
              </w:rPr>
              <w:t>Ejercicio 2023</w:t>
            </w:r>
          </w:p>
        </w:tc>
      </w:tr>
      <w:tr>
        <w:trPr>
          <w:trHeight w:val="219" w:hRule="atLeast"/>
        </w:trPr>
        <w:tc>
          <w:tcPr>
            <w:tcW w:w="5215" w:type="dxa"/>
            <w:vMerge w:val="restart"/>
          </w:tcPr>
          <w:p>
            <w:pPr>
              <w:pStyle w:val="TableParagraph"/>
              <w:spacing w:line="226" w:lineRule="exact" w:before="0"/>
              <w:ind w:left="29"/>
              <w:rPr>
                <w:sz w:val="19"/>
              </w:rPr>
            </w:pPr>
            <w:r>
              <w:rPr>
                <w:sz w:val="19"/>
              </w:rPr>
              <w:t>Becas al estudio</w:t>
            </w:r>
          </w:p>
          <w:p>
            <w:pPr>
              <w:pStyle w:val="TableParagraph"/>
              <w:spacing w:line="204" w:lineRule="exact" w:before="17"/>
              <w:ind w:left="29"/>
              <w:rPr>
                <w:b/>
                <w:sz w:val="19"/>
              </w:rPr>
            </w:pPr>
            <w:r>
              <w:rPr>
                <w:b/>
                <w:sz w:val="19"/>
              </w:rPr>
              <w:t>TOTAL AYUDAS MONETARIAS</w:t>
            </w:r>
          </w:p>
        </w:tc>
        <w:tc>
          <w:tcPr>
            <w:tcW w:w="1526" w:type="dxa"/>
          </w:tcPr>
          <w:p>
            <w:pPr>
              <w:pStyle w:val="TableParagraph"/>
              <w:spacing w:line="200" w:lineRule="exact" w:before="0"/>
              <w:ind w:right="3"/>
              <w:jc w:val="right"/>
              <w:rPr>
                <w:sz w:val="19"/>
              </w:rPr>
            </w:pPr>
            <w:r>
              <w:rPr>
                <w:w w:val="90"/>
                <w:sz w:val="19"/>
              </w:rPr>
              <w:t>4.930,66</w:t>
            </w:r>
          </w:p>
        </w:tc>
        <w:tc>
          <w:tcPr>
            <w:tcW w:w="1665" w:type="dxa"/>
          </w:tcPr>
          <w:p>
            <w:pPr>
              <w:pStyle w:val="TableParagraph"/>
              <w:spacing w:before="0"/>
              <w:rPr>
                <w:rFonts w:ascii="Times New Roman"/>
                <w:sz w:val="14"/>
              </w:rPr>
            </w:pPr>
          </w:p>
        </w:tc>
      </w:tr>
      <w:tr>
        <w:trPr>
          <w:trHeight w:val="218" w:hRule="atLeast"/>
        </w:trPr>
        <w:tc>
          <w:tcPr>
            <w:tcW w:w="5215" w:type="dxa"/>
            <w:vMerge/>
            <w:tcBorders>
              <w:top w:val="nil"/>
            </w:tcBorders>
          </w:tcPr>
          <w:p>
            <w:pPr>
              <w:rPr>
                <w:sz w:val="2"/>
                <w:szCs w:val="2"/>
              </w:rPr>
            </w:pPr>
          </w:p>
        </w:tc>
        <w:tc>
          <w:tcPr>
            <w:tcW w:w="1526" w:type="dxa"/>
          </w:tcPr>
          <w:p>
            <w:pPr>
              <w:pStyle w:val="TableParagraph"/>
              <w:spacing w:line="198" w:lineRule="exact" w:before="0"/>
              <w:ind w:right="3"/>
              <w:jc w:val="right"/>
              <w:rPr>
                <w:sz w:val="19"/>
              </w:rPr>
            </w:pPr>
            <w:r>
              <w:rPr>
                <w:w w:val="90"/>
                <w:sz w:val="19"/>
              </w:rPr>
              <w:t>4.930,66</w:t>
            </w:r>
          </w:p>
        </w:tc>
        <w:tc>
          <w:tcPr>
            <w:tcW w:w="1665" w:type="dxa"/>
          </w:tcPr>
          <w:p>
            <w:pPr>
              <w:pStyle w:val="TableParagraph"/>
              <w:spacing w:before="0"/>
              <w:rPr>
                <w:rFonts w:ascii="Times New Roman"/>
                <w:sz w:val="14"/>
              </w:rPr>
            </w:pPr>
          </w:p>
        </w:tc>
      </w:tr>
    </w:tbl>
    <w:p>
      <w:pPr>
        <w:pStyle w:val="BodyText"/>
        <w:rPr>
          <w:sz w:val="18"/>
        </w:rPr>
      </w:pPr>
    </w:p>
    <w:p>
      <w:pPr>
        <w:pStyle w:val="BodyText"/>
        <w:rPr>
          <w:sz w:val="18"/>
        </w:rPr>
      </w:pPr>
    </w:p>
    <w:p>
      <w:pPr>
        <w:pStyle w:val="BodyText"/>
        <w:spacing w:before="3"/>
        <w:rPr>
          <w:sz w:val="24"/>
        </w:rPr>
      </w:pPr>
    </w:p>
    <w:p>
      <w:pPr>
        <w:pStyle w:val="BodyText"/>
        <w:ind w:left="121"/>
      </w:pPr>
      <w:r>
        <w:rPr/>
        <w:t>El detalle de la cuenta de resultados “Ayudas no monetarias” es el siguiente:</w:t>
      </w:r>
    </w:p>
    <w:p>
      <w:pPr>
        <w:spacing w:after="0"/>
        <w:sectPr>
          <w:pgSz w:w="11900" w:h="16840"/>
          <w:pgMar w:header="739" w:footer="767" w:top="1600" w:bottom="960" w:left="1580" w:right="660"/>
        </w:sectPr>
      </w:pPr>
    </w:p>
    <w:p>
      <w:pPr>
        <w:pStyle w:val="BodyText"/>
        <w:spacing w:before="11" w:after="1"/>
        <w:rPr>
          <w:sz w:val="22"/>
        </w:rPr>
      </w:pPr>
    </w:p>
    <w:tbl>
      <w:tblPr>
        <w:tblW w:w="0" w:type="auto"/>
        <w:jc w:val="left"/>
        <w:tblInd w:w="7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215"/>
        <w:gridCol w:w="1526"/>
        <w:gridCol w:w="1665"/>
      </w:tblGrid>
      <w:tr>
        <w:trPr>
          <w:trHeight w:val="211" w:hRule="atLeast"/>
        </w:trPr>
        <w:tc>
          <w:tcPr>
            <w:tcW w:w="5215" w:type="dxa"/>
          </w:tcPr>
          <w:p>
            <w:pPr>
              <w:pStyle w:val="TableParagraph"/>
              <w:spacing w:line="191" w:lineRule="exact" w:before="0"/>
              <w:ind w:left="948"/>
              <w:rPr>
                <w:b/>
                <w:sz w:val="18"/>
              </w:rPr>
            </w:pPr>
            <w:r>
              <w:rPr>
                <w:b/>
                <w:sz w:val="18"/>
              </w:rPr>
              <w:t>AYUDAS NO MONETARIAS POR ACTIVIDADES</w:t>
            </w:r>
          </w:p>
        </w:tc>
        <w:tc>
          <w:tcPr>
            <w:tcW w:w="1526" w:type="dxa"/>
          </w:tcPr>
          <w:p>
            <w:pPr>
              <w:pStyle w:val="TableParagraph"/>
              <w:spacing w:line="191" w:lineRule="exact" w:before="0"/>
              <w:ind w:left="264"/>
              <w:rPr>
                <w:sz w:val="18"/>
              </w:rPr>
            </w:pPr>
            <w:r>
              <w:rPr>
                <w:sz w:val="18"/>
              </w:rPr>
              <w:t>Ejercicio 2024</w:t>
            </w:r>
          </w:p>
        </w:tc>
        <w:tc>
          <w:tcPr>
            <w:tcW w:w="1665" w:type="dxa"/>
          </w:tcPr>
          <w:p>
            <w:pPr>
              <w:pStyle w:val="TableParagraph"/>
              <w:spacing w:line="191" w:lineRule="exact" w:before="0"/>
              <w:ind w:left="334"/>
              <w:rPr>
                <w:sz w:val="18"/>
              </w:rPr>
            </w:pPr>
            <w:r>
              <w:rPr>
                <w:sz w:val="18"/>
              </w:rPr>
              <w:t>Ejercicio 2023</w:t>
            </w:r>
          </w:p>
        </w:tc>
      </w:tr>
      <w:tr>
        <w:trPr>
          <w:trHeight w:val="212" w:hRule="atLeast"/>
        </w:trPr>
        <w:tc>
          <w:tcPr>
            <w:tcW w:w="5215" w:type="dxa"/>
            <w:vMerge w:val="restart"/>
          </w:tcPr>
          <w:p>
            <w:pPr>
              <w:pStyle w:val="TableParagraph"/>
              <w:rPr>
                <w:sz w:val="19"/>
              </w:rPr>
            </w:pPr>
          </w:p>
          <w:p>
            <w:pPr>
              <w:pStyle w:val="TableParagraph"/>
              <w:spacing w:line="195" w:lineRule="exact" w:before="0"/>
              <w:ind w:left="29"/>
              <w:rPr>
                <w:b/>
                <w:sz w:val="18"/>
              </w:rPr>
            </w:pPr>
            <w:r>
              <w:rPr>
                <w:b/>
                <w:sz w:val="18"/>
              </w:rPr>
              <w:t>TOTAL AYUDAS NO MONETARIAS</w:t>
            </w:r>
          </w:p>
        </w:tc>
        <w:tc>
          <w:tcPr>
            <w:tcW w:w="1526" w:type="dxa"/>
          </w:tcPr>
          <w:p>
            <w:pPr>
              <w:pStyle w:val="TableParagraph"/>
              <w:spacing w:line="192" w:lineRule="exact" w:before="0"/>
              <w:ind w:right="3"/>
              <w:jc w:val="right"/>
              <w:rPr>
                <w:sz w:val="18"/>
              </w:rPr>
            </w:pPr>
            <w:r>
              <w:rPr>
                <w:w w:val="98"/>
                <w:sz w:val="18"/>
              </w:rPr>
              <w:t>0</w:t>
            </w:r>
          </w:p>
        </w:tc>
        <w:tc>
          <w:tcPr>
            <w:tcW w:w="1665" w:type="dxa"/>
          </w:tcPr>
          <w:p>
            <w:pPr>
              <w:pStyle w:val="TableParagraph"/>
              <w:spacing w:line="192" w:lineRule="exact" w:before="0"/>
              <w:ind w:right="3"/>
              <w:jc w:val="right"/>
              <w:rPr>
                <w:sz w:val="18"/>
              </w:rPr>
            </w:pPr>
            <w:r>
              <w:rPr>
                <w:w w:val="98"/>
                <w:sz w:val="18"/>
              </w:rPr>
              <w:t>0</w:t>
            </w:r>
          </w:p>
        </w:tc>
      </w:tr>
      <w:tr>
        <w:trPr>
          <w:trHeight w:val="212" w:hRule="atLeast"/>
        </w:trPr>
        <w:tc>
          <w:tcPr>
            <w:tcW w:w="5215" w:type="dxa"/>
            <w:vMerge/>
            <w:tcBorders>
              <w:top w:val="nil"/>
            </w:tcBorders>
          </w:tcPr>
          <w:p>
            <w:pPr>
              <w:rPr>
                <w:sz w:val="2"/>
                <w:szCs w:val="2"/>
              </w:rPr>
            </w:pPr>
          </w:p>
        </w:tc>
        <w:tc>
          <w:tcPr>
            <w:tcW w:w="1526" w:type="dxa"/>
          </w:tcPr>
          <w:p>
            <w:pPr>
              <w:pStyle w:val="TableParagraph"/>
              <w:spacing w:line="192" w:lineRule="exact" w:before="0"/>
              <w:ind w:right="3"/>
              <w:jc w:val="right"/>
              <w:rPr>
                <w:sz w:val="18"/>
              </w:rPr>
            </w:pPr>
            <w:r>
              <w:rPr>
                <w:w w:val="98"/>
                <w:sz w:val="18"/>
              </w:rPr>
              <w:t>0</w:t>
            </w:r>
          </w:p>
        </w:tc>
        <w:tc>
          <w:tcPr>
            <w:tcW w:w="1665" w:type="dxa"/>
          </w:tcPr>
          <w:p>
            <w:pPr>
              <w:pStyle w:val="TableParagraph"/>
              <w:spacing w:line="192" w:lineRule="exact" w:before="0"/>
              <w:ind w:right="3"/>
              <w:jc w:val="right"/>
              <w:rPr>
                <w:sz w:val="18"/>
              </w:rPr>
            </w:pPr>
            <w:r>
              <w:rPr>
                <w:w w:val="98"/>
                <w:sz w:val="18"/>
              </w:rPr>
              <w:t>0</w:t>
            </w:r>
          </w:p>
        </w:tc>
      </w:tr>
    </w:tbl>
    <w:p>
      <w:pPr>
        <w:pStyle w:val="BodyText"/>
        <w:rPr>
          <w:sz w:val="20"/>
        </w:rPr>
      </w:pPr>
    </w:p>
    <w:p>
      <w:pPr>
        <w:pStyle w:val="BodyText"/>
        <w:rPr>
          <w:sz w:val="20"/>
        </w:rPr>
      </w:pPr>
    </w:p>
    <w:p>
      <w:pPr>
        <w:pStyle w:val="BodyText"/>
        <w:spacing w:before="6"/>
      </w:pPr>
    </w:p>
    <w:p>
      <w:pPr>
        <w:pStyle w:val="BodyText"/>
        <w:ind w:left="121"/>
        <w:jc w:val="both"/>
      </w:pPr>
      <w:r>
        <w:rPr/>
        <w:t>El desglose de los ingresos por promociones, patrocinadores y colaboraciones:</w:t>
      </w:r>
    </w:p>
    <w:p>
      <w:pPr>
        <w:pStyle w:val="BodyText"/>
        <w:rPr>
          <w:sz w:val="26"/>
        </w:rPr>
      </w:pPr>
    </w:p>
    <w:tbl>
      <w:tblPr>
        <w:tblW w:w="0" w:type="auto"/>
        <w:jc w:val="left"/>
        <w:tblInd w:w="7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22"/>
        <w:gridCol w:w="1846"/>
        <w:gridCol w:w="1496"/>
      </w:tblGrid>
      <w:tr>
        <w:trPr>
          <w:trHeight w:val="211" w:hRule="atLeast"/>
        </w:trPr>
        <w:tc>
          <w:tcPr>
            <w:tcW w:w="5322" w:type="dxa"/>
          </w:tcPr>
          <w:p>
            <w:pPr>
              <w:pStyle w:val="TableParagraph"/>
              <w:spacing w:line="191" w:lineRule="exact" w:before="0"/>
              <w:ind w:left="833"/>
              <w:rPr>
                <w:b/>
                <w:sz w:val="18"/>
              </w:rPr>
            </w:pPr>
            <w:r>
              <w:rPr>
                <w:b/>
                <w:w w:val="105"/>
                <w:sz w:val="18"/>
              </w:rPr>
              <w:t>Promociones, patrocinadores y colaboraciones</w:t>
            </w:r>
          </w:p>
        </w:tc>
        <w:tc>
          <w:tcPr>
            <w:tcW w:w="1846" w:type="dxa"/>
          </w:tcPr>
          <w:p>
            <w:pPr>
              <w:pStyle w:val="TableParagraph"/>
              <w:spacing w:line="191" w:lineRule="exact" w:before="0"/>
              <w:ind w:left="390"/>
              <w:rPr>
                <w:sz w:val="18"/>
              </w:rPr>
            </w:pPr>
            <w:r>
              <w:rPr>
                <w:w w:val="105"/>
                <w:sz w:val="18"/>
              </w:rPr>
              <w:t>Ejercicio 2024</w:t>
            </w:r>
          </w:p>
        </w:tc>
        <w:tc>
          <w:tcPr>
            <w:tcW w:w="1496" w:type="dxa"/>
          </w:tcPr>
          <w:p>
            <w:pPr>
              <w:pStyle w:val="TableParagraph"/>
              <w:spacing w:line="191" w:lineRule="exact" w:before="0"/>
              <w:ind w:left="215"/>
              <w:rPr>
                <w:sz w:val="18"/>
              </w:rPr>
            </w:pPr>
            <w:r>
              <w:rPr>
                <w:w w:val="105"/>
                <w:sz w:val="18"/>
              </w:rPr>
              <w:t>Ejercicio 2022</w:t>
            </w:r>
          </w:p>
        </w:tc>
      </w:tr>
      <w:tr>
        <w:trPr>
          <w:trHeight w:val="212" w:hRule="atLeast"/>
        </w:trPr>
        <w:tc>
          <w:tcPr>
            <w:tcW w:w="5322" w:type="dxa"/>
            <w:vMerge w:val="restart"/>
          </w:tcPr>
          <w:p>
            <w:pPr>
              <w:pStyle w:val="TableParagraph"/>
              <w:rPr>
                <w:sz w:val="19"/>
              </w:rPr>
            </w:pPr>
          </w:p>
          <w:p>
            <w:pPr>
              <w:pStyle w:val="TableParagraph"/>
              <w:spacing w:line="195" w:lineRule="exact" w:before="0"/>
              <w:ind w:left="31"/>
              <w:rPr>
                <w:b/>
                <w:sz w:val="18"/>
              </w:rPr>
            </w:pPr>
            <w:r>
              <w:rPr>
                <w:b/>
                <w:w w:val="105"/>
                <w:sz w:val="18"/>
              </w:rPr>
              <w:t>TOTAL</w:t>
            </w:r>
          </w:p>
        </w:tc>
        <w:tc>
          <w:tcPr>
            <w:tcW w:w="1846" w:type="dxa"/>
          </w:tcPr>
          <w:p>
            <w:pPr>
              <w:pStyle w:val="TableParagraph"/>
              <w:spacing w:line="192" w:lineRule="exact" w:before="0"/>
              <w:ind w:right="7"/>
              <w:jc w:val="right"/>
              <w:rPr>
                <w:sz w:val="18"/>
              </w:rPr>
            </w:pPr>
            <w:r>
              <w:rPr>
                <w:w w:val="105"/>
                <w:sz w:val="18"/>
              </w:rPr>
              <w:t>0</w:t>
            </w:r>
          </w:p>
        </w:tc>
        <w:tc>
          <w:tcPr>
            <w:tcW w:w="1496" w:type="dxa"/>
          </w:tcPr>
          <w:p>
            <w:pPr>
              <w:pStyle w:val="TableParagraph"/>
              <w:spacing w:line="192" w:lineRule="exact" w:before="0"/>
              <w:ind w:right="9"/>
              <w:jc w:val="right"/>
              <w:rPr>
                <w:sz w:val="18"/>
              </w:rPr>
            </w:pPr>
            <w:r>
              <w:rPr>
                <w:w w:val="105"/>
                <w:sz w:val="18"/>
              </w:rPr>
              <w:t>0</w:t>
            </w:r>
          </w:p>
        </w:tc>
      </w:tr>
      <w:tr>
        <w:trPr>
          <w:trHeight w:val="212" w:hRule="atLeast"/>
        </w:trPr>
        <w:tc>
          <w:tcPr>
            <w:tcW w:w="5322" w:type="dxa"/>
            <w:vMerge/>
            <w:tcBorders>
              <w:top w:val="nil"/>
            </w:tcBorders>
          </w:tcPr>
          <w:p>
            <w:pPr>
              <w:rPr>
                <w:sz w:val="2"/>
                <w:szCs w:val="2"/>
              </w:rPr>
            </w:pPr>
          </w:p>
        </w:tc>
        <w:tc>
          <w:tcPr>
            <w:tcW w:w="1846" w:type="dxa"/>
          </w:tcPr>
          <w:p>
            <w:pPr>
              <w:pStyle w:val="TableParagraph"/>
              <w:spacing w:line="192" w:lineRule="exact" w:before="0"/>
              <w:ind w:right="7"/>
              <w:jc w:val="right"/>
              <w:rPr>
                <w:sz w:val="18"/>
              </w:rPr>
            </w:pPr>
            <w:r>
              <w:rPr>
                <w:w w:val="105"/>
                <w:sz w:val="18"/>
              </w:rPr>
              <w:t>0</w:t>
            </w:r>
          </w:p>
        </w:tc>
        <w:tc>
          <w:tcPr>
            <w:tcW w:w="1496" w:type="dxa"/>
          </w:tcPr>
          <w:p>
            <w:pPr>
              <w:pStyle w:val="TableParagraph"/>
              <w:spacing w:line="192" w:lineRule="exact" w:before="0"/>
              <w:ind w:right="9"/>
              <w:jc w:val="right"/>
              <w:rPr>
                <w:sz w:val="18"/>
              </w:rPr>
            </w:pPr>
            <w:r>
              <w:rPr>
                <w:w w:val="105"/>
                <w:sz w:val="18"/>
              </w:rPr>
              <w:t>0</w:t>
            </w:r>
          </w:p>
        </w:tc>
      </w:tr>
    </w:tbl>
    <w:p>
      <w:pPr>
        <w:pStyle w:val="BodyText"/>
        <w:rPr>
          <w:sz w:val="18"/>
        </w:rPr>
      </w:pPr>
    </w:p>
    <w:p>
      <w:pPr>
        <w:pStyle w:val="BodyText"/>
        <w:rPr>
          <w:sz w:val="18"/>
        </w:rPr>
      </w:pPr>
    </w:p>
    <w:p>
      <w:pPr>
        <w:pStyle w:val="BodyText"/>
        <w:spacing w:before="8"/>
        <w:rPr>
          <w:sz w:val="23"/>
        </w:rPr>
      </w:pPr>
    </w:p>
    <w:p>
      <w:pPr>
        <w:pStyle w:val="BodyText"/>
        <w:spacing w:line="273" w:lineRule="auto"/>
        <w:ind w:left="121" w:right="1031"/>
        <w:jc w:val="both"/>
      </w:pPr>
      <w:r>
        <w:rPr/>
        <w:t>El importe de la venta de bienes y prestación de servicios producidos por permuta de bienes no monetarios y servicios registrados en la cuenta de ingresos y gastos del ejercicio 2024 y 2023 ascienden a cero euros.</w:t>
      </w:r>
    </w:p>
    <w:p>
      <w:pPr>
        <w:pStyle w:val="BodyText"/>
        <w:spacing w:before="8"/>
        <w:rPr>
          <w:sz w:val="16"/>
        </w:rPr>
      </w:pPr>
    </w:p>
    <w:p>
      <w:pPr>
        <w:pStyle w:val="BodyText"/>
        <w:spacing w:line="276" w:lineRule="auto"/>
        <w:ind w:left="121" w:right="1031"/>
        <w:jc w:val="both"/>
      </w:pPr>
      <w:r>
        <w:rPr/>
        <w:t>Los resultados originados fuera de la actividad normal de la Fundación incluidos en la partida “Otros resultados”, ascienden a cero euros.</w:t>
      </w:r>
    </w:p>
    <w:p>
      <w:pPr>
        <w:pStyle w:val="BodyText"/>
        <w:spacing w:before="6"/>
        <w:rPr>
          <w:sz w:val="16"/>
        </w:rPr>
      </w:pPr>
    </w:p>
    <w:p>
      <w:pPr>
        <w:pStyle w:val="Heading1"/>
        <w:numPr>
          <w:ilvl w:val="0"/>
          <w:numId w:val="12"/>
        </w:numPr>
        <w:tabs>
          <w:tab w:pos="667" w:val="left" w:leader="none"/>
        </w:tabs>
        <w:spacing w:line="273" w:lineRule="auto" w:before="0" w:after="0"/>
        <w:ind w:left="121" w:right="1030" w:firstLine="0"/>
        <w:jc w:val="left"/>
      </w:pPr>
      <w:r>
        <w:rPr/>
        <w:t>ACTIVIDADES DE LA FUNDACIÓN. APLICACIÓN DE ELEMENTOS PATRIMONIALES A FINES PROPIOS. GASTOS DE</w:t>
      </w:r>
      <w:r>
        <w:rPr>
          <w:spacing w:val="-17"/>
        </w:rPr>
        <w:t> </w:t>
      </w:r>
      <w:r>
        <w:rPr/>
        <w:t>ADMINISTRACION.</w:t>
      </w:r>
    </w:p>
    <w:p>
      <w:pPr>
        <w:pStyle w:val="ListParagraph"/>
        <w:numPr>
          <w:ilvl w:val="0"/>
          <w:numId w:val="18"/>
        </w:numPr>
        <w:tabs>
          <w:tab w:pos="463" w:val="left" w:leader="none"/>
        </w:tabs>
        <w:spacing w:line="240" w:lineRule="auto" w:before="205" w:after="0"/>
        <w:ind w:left="462" w:right="0" w:hanging="342"/>
        <w:jc w:val="left"/>
        <w:rPr>
          <w:b/>
          <w:sz w:val="28"/>
        </w:rPr>
      </w:pPr>
      <w:r>
        <w:rPr>
          <w:b/>
          <w:sz w:val="28"/>
        </w:rPr>
        <w:t>Actividad de la</w:t>
      </w:r>
      <w:r>
        <w:rPr>
          <w:b/>
          <w:spacing w:val="-2"/>
          <w:sz w:val="28"/>
        </w:rPr>
        <w:t> </w:t>
      </w:r>
      <w:r>
        <w:rPr>
          <w:b/>
          <w:sz w:val="28"/>
        </w:rPr>
        <w:t>Fundación.</w:t>
      </w:r>
    </w:p>
    <w:p>
      <w:pPr>
        <w:pStyle w:val="BodyText"/>
        <w:spacing w:before="8"/>
        <w:rPr>
          <w:b/>
          <w:sz w:val="20"/>
        </w:rPr>
      </w:pPr>
    </w:p>
    <w:p>
      <w:pPr>
        <w:pStyle w:val="BodyText"/>
        <w:spacing w:line="273" w:lineRule="auto" w:before="1"/>
        <w:ind w:left="121" w:right="1031"/>
        <w:jc w:val="both"/>
      </w:pPr>
      <w:r>
        <w:rPr/>
        <w:t>Las actividades de Fundación se distribuyen en la escuela de música, desarrollándose en Municipio de Los Realejos y de Icod de Los Vinos, y proyecto de bibliotecas, desarrollándose en Municipio de los Realejos.</w:t>
      </w:r>
    </w:p>
    <w:p>
      <w:pPr>
        <w:pStyle w:val="BodyText"/>
        <w:spacing w:before="8"/>
        <w:rPr>
          <w:sz w:val="16"/>
        </w:rPr>
      </w:pPr>
    </w:p>
    <w:p>
      <w:pPr>
        <w:pStyle w:val="Heading2"/>
        <w:numPr>
          <w:ilvl w:val="1"/>
          <w:numId w:val="18"/>
        </w:numPr>
        <w:tabs>
          <w:tab w:pos="389" w:val="left" w:leader="none"/>
        </w:tabs>
        <w:spacing w:line="240" w:lineRule="auto" w:before="0" w:after="0"/>
        <w:ind w:left="388" w:right="0" w:hanging="268"/>
        <w:jc w:val="left"/>
      </w:pPr>
      <w:r>
        <w:rPr/>
        <w:t>Recursos humanos empleados en la</w:t>
      </w:r>
      <w:r>
        <w:rPr>
          <w:spacing w:val="-3"/>
        </w:rPr>
        <w:t> </w:t>
      </w:r>
      <w:r>
        <w:rPr/>
        <w:t>actividad.</w:t>
      </w:r>
    </w:p>
    <w:p>
      <w:pPr>
        <w:pStyle w:val="BodyText"/>
        <w:spacing w:before="11"/>
        <w:rPr>
          <w:b/>
        </w:rPr>
      </w:pPr>
    </w:p>
    <w:tbl>
      <w:tblPr>
        <w:tblW w:w="0" w:type="auto"/>
        <w:jc w:val="left"/>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72"/>
        <w:gridCol w:w="1322"/>
        <w:gridCol w:w="1418"/>
        <w:gridCol w:w="1274"/>
        <w:gridCol w:w="1701"/>
      </w:tblGrid>
      <w:tr>
        <w:trPr>
          <w:trHeight w:val="225" w:hRule="atLeast"/>
        </w:trPr>
        <w:tc>
          <w:tcPr>
            <w:tcW w:w="3072" w:type="dxa"/>
            <w:vMerge w:val="restart"/>
          </w:tcPr>
          <w:p>
            <w:pPr>
              <w:pStyle w:val="TableParagraph"/>
              <w:spacing w:before="10"/>
              <w:rPr>
                <w:b/>
                <w:sz w:val="13"/>
              </w:rPr>
            </w:pPr>
          </w:p>
          <w:p>
            <w:pPr>
              <w:pStyle w:val="TableParagraph"/>
              <w:spacing w:before="0"/>
              <w:ind w:left="69"/>
              <w:rPr>
                <w:sz w:val="16"/>
              </w:rPr>
            </w:pPr>
            <w:r>
              <w:rPr>
                <w:sz w:val="16"/>
              </w:rPr>
              <w:t>Tipo</w:t>
            </w:r>
          </w:p>
        </w:tc>
        <w:tc>
          <w:tcPr>
            <w:tcW w:w="2740" w:type="dxa"/>
            <w:gridSpan w:val="2"/>
          </w:tcPr>
          <w:p>
            <w:pPr>
              <w:pStyle w:val="TableParagraph"/>
              <w:spacing w:line="175" w:lineRule="exact" w:before="30"/>
              <w:ind w:left="69"/>
              <w:rPr>
                <w:sz w:val="16"/>
              </w:rPr>
            </w:pPr>
            <w:r>
              <w:rPr>
                <w:sz w:val="16"/>
              </w:rPr>
              <w:t>Número</w:t>
            </w:r>
          </w:p>
        </w:tc>
        <w:tc>
          <w:tcPr>
            <w:tcW w:w="2975" w:type="dxa"/>
            <w:gridSpan w:val="2"/>
          </w:tcPr>
          <w:p>
            <w:pPr>
              <w:pStyle w:val="TableParagraph"/>
              <w:spacing w:line="175" w:lineRule="exact" w:before="30"/>
              <w:ind w:left="70"/>
              <w:rPr>
                <w:sz w:val="16"/>
              </w:rPr>
            </w:pPr>
            <w:r>
              <w:rPr>
                <w:sz w:val="16"/>
              </w:rPr>
              <w:t>Nº horas/año</w:t>
            </w:r>
          </w:p>
        </w:tc>
      </w:tr>
      <w:tr>
        <w:trPr>
          <w:trHeight w:val="299" w:hRule="atLeast"/>
        </w:trPr>
        <w:tc>
          <w:tcPr>
            <w:tcW w:w="3072" w:type="dxa"/>
            <w:vMerge/>
            <w:tcBorders>
              <w:top w:val="nil"/>
            </w:tcBorders>
          </w:tcPr>
          <w:p>
            <w:pPr>
              <w:rPr>
                <w:sz w:val="2"/>
                <w:szCs w:val="2"/>
              </w:rPr>
            </w:pPr>
          </w:p>
        </w:tc>
        <w:tc>
          <w:tcPr>
            <w:tcW w:w="1322" w:type="dxa"/>
          </w:tcPr>
          <w:p>
            <w:pPr>
              <w:pStyle w:val="TableParagraph"/>
              <w:spacing w:line="175" w:lineRule="exact" w:before="104"/>
              <w:ind w:left="69"/>
              <w:rPr>
                <w:sz w:val="16"/>
              </w:rPr>
            </w:pPr>
            <w:r>
              <w:rPr>
                <w:sz w:val="16"/>
              </w:rPr>
              <w:t>Previsto</w:t>
            </w:r>
          </w:p>
        </w:tc>
        <w:tc>
          <w:tcPr>
            <w:tcW w:w="1418" w:type="dxa"/>
          </w:tcPr>
          <w:p>
            <w:pPr>
              <w:pStyle w:val="TableParagraph"/>
              <w:spacing w:line="175" w:lineRule="exact" w:before="104"/>
              <w:ind w:left="69"/>
              <w:rPr>
                <w:sz w:val="16"/>
              </w:rPr>
            </w:pPr>
            <w:r>
              <w:rPr>
                <w:sz w:val="16"/>
              </w:rPr>
              <w:t>Realizado</w:t>
            </w:r>
          </w:p>
        </w:tc>
        <w:tc>
          <w:tcPr>
            <w:tcW w:w="1274" w:type="dxa"/>
          </w:tcPr>
          <w:p>
            <w:pPr>
              <w:pStyle w:val="TableParagraph"/>
              <w:spacing w:line="175" w:lineRule="exact" w:before="104"/>
              <w:ind w:left="70"/>
              <w:rPr>
                <w:sz w:val="16"/>
              </w:rPr>
            </w:pPr>
            <w:r>
              <w:rPr>
                <w:sz w:val="16"/>
              </w:rPr>
              <w:t>Previsto</w:t>
            </w:r>
          </w:p>
        </w:tc>
        <w:tc>
          <w:tcPr>
            <w:tcW w:w="1701" w:type="dxa"/>
          </w:tcPr>
          <w:p>
            <w:pPr>
              <w:pStyle w:val="TableParagraph"/>
              <w:spacing w:line="175" w:lineRule="exact" w:before="104"/>
              <w:ind w:left="70"/>
              <w:rPr>
                <w:sz w:val="16"/>
              </w:rPr>
            </w:pPr>
            <w:r>
              <w:rPr>
                <w:sz w:val="16"/>
              </w:rPr>
              <w:t>Realizado</w:t>
            </w:r>
          </w:p>
        </w:tc>
      </w:tr>
      <w:tr>
        <w:trPr>
          <w:trHeight w:val="225" w:hRule="atLeast"/>
        </w:trPr>
        <w:tc>
          <w:tcPr>
            <w:tcW w:w="3072" w:type="dxa"/>
          </w:tcPr>
          <w:p>
            <w:pPr>
              <w:pStyle w:val="TableParagraph"/>
              <w:spacing w:line="175" w:lineRule="exact" w:before="30"/>
              <w:ind w:left="69"/>
              <w:rPr>
                <w:sz w:val="16"/>
              </w:rPr>
            </w:pPr>
            <w:r>
              <w:rPr>
                <w:sz w:val="16"/>
              </w:rPr>
              <w:t>Personal asalariado</w:t>
            </w:r>
          </w:p>
        </w:tc>
        <w:tc>
          <w:tcPr>
            <w:tcW w:w="1322" w:type="dxa"/>
          </w:tcPr>
          <w:p>
            <w:pPr>
              <w:pStyle w:val="TableParagraph"/>
              <w:spacing w:line="175" w:lineRule="exact" w:before="30"/>
              <w:ind w:right="57"/>
              <w:jc w:val="right"/>
              <w:rPr>
                <w:sz w:val="16"/>
              </w:rPr>
            </w:pPr>
            <w:r>
              <w:rPr>
                <w:sz w:val="16"/>
              </w:rPr>
              <w:t>15</w:t>
            </w:r>
          </w:p>
        </w:tc>
        <w:tc>
          <w:tcPr>
            <w:tcW w:w="1418" w:type="dxa"/>
          </w:tcPr>
          <w:p>
            <w:pPr>
              <w:pStyle w:val="TableParagraph"/>
              <w:spacing w:line="175" w:lineRule="exact" w:before="30"/>
              <w:ind w:right="59"/>
              <w:jc w:val="right"/>
              <w:rPr>
                <w:sz w:val="16"/>
              </w:rPr>
            </w:pPr>
            <w:r>
              <w:rPr>
                <w:sz w:val="16"/>
              </w:rPr>
              <w:t>15</w:t>
            </w:r>
          </w:p>
        </w:tc>
        <w:tc>
          <w:tcPr>
            <w:tcW w:w="1274" w:type="dxa"/>
          </w:tcPr>
          <w:p>
            <w:pPr>
              <w:pStyle w:val="TableParagraph"/>
              <w:spacing w:line="175" w:lineRule="exact" w:before="30"/>
              <w:ind w:left="759"/>
              <w:rPr>
                <w:sz w:val="16"/>
              </w:rPr>
            </w:pPr>
            <w:r>
              <w:rPr>
                <w:sz w:val="16"/>
              </w:rPr>
              <w:t>18.876</w:t>
            </w:r>
          </w:p>
        </w:tc>
        <w:tc>
          <w:tcPr>
            <w:tcW w:w="1701" w:type="dxa"/>
          </w:tcPr>
          <w:p>
            <w:pPr>
              <w:pStyle w:val="TableParagraph"/>
              <w:spacing w:line="175" w:lineRule="exact" w:before="30"/>
              <w:ind w:right="56"/>
              <w:jc w:val="right"/>
              <w:rPr>
                <w:sz w:val="16"/>
              </w:rPr>
            </w:pPr>
            <w:r>
              <w:rPr>
                <w:sz w:val="16"/>
              </w:rPr>
              <w:t>18.876</w:t>
            </w:r>
          </w:p>
        </w:tc>
      </w:tr>
      <w:tr>
        <w:trPr>
          <w:trHeight w:val="225" w:hRule="atLeast"/>
        </w:trPr>
        <w:tc>
          <w:tcPr>
            <w:tcW w:w="3072" w:type="dxa"/>
          </w:tcPr>
          <w:p>
            <w:pPr>
              <w:pStyle w:val="TableParagraph"/>
              <w:spacing w:line="175" w:lineRule="exact" w:before="30"/>
              <w:ind w:left="69"/>
              <w:rPr>
                <w:sz w:val="16"/>
              </w:rPr>
            </w:pPr>
            <w:r>
              <w:rPr>
                <w:sz w:val="16"/>
              </w:rPr>
              <w:t>Personal con contrato de servicios</w:t>
            </w:r>
          </w:p>
        </w:tc>
        <w:tc>
          <w:tcPr>
            <w:tcW w:w="1322" w:type="dxa"/>
          </w:tcPr>
          <w:p>
            <w:pPr>
              <w:pStyle w:val="TableParagraph"/>
              <w:spacing w:before="0"/>
              <w:rPr>
                <w:rFonts w:ascii="Times New Roman"/>
                <w:sz w:val="16"/>
              </w:rPr>
            </w:pPr>
          </w:p>
        </w:tc>
        <w:tc>
          <w:tcPr>
            <w:tcW w:w="1418" w:type="dxa"/>
          </w:tcPr>
          <w:p>
            <w:pPr>
              <w:pStyle w:val="TableParagraph"/>
              <w:spacing w:before="0"/>
              <w:rPr>
                <w:rFonts w:ascii="Times New Roman"/>
                <w:sz w:val="16"/>
              </w:rPr>
            </w:pPr>
          </w:p>
        </w:tc>
        <w:tc>
          <w:tcPr>
            <w:tcW w:w="1274" w:type="dxa"/>
          </w:tcPr>
          <w:p>
            <w:pPr>
              <w:pStyle w:val="TableParagraph"/>
              <w:spacing w:before="0"/>
              <w:rPr>
                <w:rFonts w:ascii="Times New Roman"/>
                <w:sz w:val="16"/>
              </w:rPr>
            </w:pPr>
          </w:p>
        </w:tc>
        <w:tc>
          <w:tcPr>
            <w:tcW w:w="1701" w:type="dxa"/>
          </w:tcPr>
          <w:p>
            <w:pPr>
              <w:pStyle w:val="TableParagraph"/>
              <w:spacing w:before="0"/>
              <w:rPr>
                <w:rFonts w:ascii="Times New Roman"/>
                <w:sz w:val="16"/>
              </w:rPr>
            </w:pPr>
          </w:p>
        </w:tc>
      </w:tr>
      <w:tr>
        <w:trPr>
          <w:trHeight w:val="225" w:hRule="atLeast"/>
        </w:trPr>
        <w:tc>
          <w:tcPr>
            <w:tcW w:w="3072" w:type="dxa"/>
          </w:tcPr>
          <w:p>
            <w:pPr>
              <w:pStyle w:val="TableParagraph"/>
              <w:spacing w:line="175" w:lineRule="exact" w:before="30"/>
              <w:ind w:left="69"/>
              <w:rPr>
                <w:sz w:val="16"/>
              </w:rPr>
            </w:pPr>
            <w:r>
              <w:rPr>
                <w:sz w:val="16"/>
              </w:rPr>
              <w:t>Personal voluntario</w:t>
            </w:r>
          </w:p>
        </w:tc>
        <w:tc>
          <w:tcPr>
            <w:tcW w:w="1322" w:type="dxa"/>
          </w:tcPr>
          <w:p>
            <w:pPr>
              <w:pStyle w:val="TableParagraph"/>
              <w:spacing w:before="0"/>
              <w:rPr>
                <w:rFonts w:ascii="Times New Roman"/>
                <w:sz w:val="16"/>
              </w:rPr>
            </w:pPr>
          </w:p>
        </w:tc>
        <w:tc>
          <w:tcPr>
            <w:tcW w:w="1418" w:type="dxa"/>
          </w:tcPr>
          <w:p>
            <w:pPr>
              <w:pStyle w:val="TableParagraph"/>
              <w:spacing w:before="0"/>
              <w:rPr>
                <w:rFonts w:ascii="Times New Roman"/>
                <w:sz w:val="16"/>
              </w:rPr>
            </w:pPr>
          </w:p>
        </w:tc>
        <w:tc>
          <w:tcPr>
            <w:tcW w:w="1274" w:type="dxa"/>
          </w:tcPr>
          <w:p>
            <w:pPr>
              <w:pStyle w:val="TableParagraph"/>
              <w:spacing w:before="0"/>
              <w:rPr>
                <w:rFonts w:ascii="Times New Roman"/>
                <w:sz w:val="16"/>
              </w:rPr>
            </w:pPr>
          </w:p>
        </w:tc>
        <w:tc>
          <w:tcPr>
            <w:tcW w:w="1701" w:type="dxa"/>
          </w:tcPr>
          <w:p>
            <w:pPr>
              <w:pStyle w:val="TableParagraph"/>
              <w:spacing w:before="0"/>
              <w:rPr>
                <w:rFonts w:ascii="Times New Roman"/>
                <w:sz w:val="16"/>
              </w:rPr>
            </w:pPr>
          </w:p>
        </w:tc>
      </w:tr>
    </w:tbl>
    <w:p>
      <w:pPr>
        <w:pStyle w:val="BodyText"/>
        <w:rPr>
          <w:b/>
          <w:sz w:val="24"/>
        </w:rPr>
      </w:pPr>
    </w:p>
    <w:p>
      <w:pPr>
        <w:pStyle w:val="ListParagraph"/>
        <w:numPr>
          <w:ilvl w:val="1"/>
          <w:numId w:val="18"/>
        </w:numPr>
        <w:tabs>
          <w:tab w:pos="377" w:val="left" w:leader="none"/>
        </w:tabs>
        <w:spacing w:line="240" w:lineRule="auto" w:before="174" w:after="0"/>
        <w:ind w:left="376" w:right="0" w:hanging="256"/>
        <w:jc w:val="left"/>
        <w:rPr>
          <w:b/>
          <w:sz w:val="24"/>
        </w:rPr>
      </w:pPr>
      <w:r>
        <w:rPr>
          <w:b/>
          <w:sz w:val="24"/>
        </w:rPr>
        <w:t>Beneficiarios o usuarios de la</w:t>
      </w:r>
      <w:r>
        <w:rPr>
          <w:b/>
          <w:spacing w:val="-5"/>
          <w:sz w:val="24"/>
        </w:rPr>
        <w:t> </w:t>
      </w:r>
      <w:r>
        <w:rPr>
          <w:b/>
          <w:sz w:val="24"/>
        </w:rPr>
        <w:t>actividad.</w:t>
      </w:r>
    </w:p>
    <w:p>
      <w:pPr>
        <w:pStyle w:val="BodyText"/>
        <w:spacing w:before="11"/>
        <w:rPr>
          <w:b/>
        </w:rPr>
      </w:pPr>
    </w:p>
    <w:tbl>
      <w:tblPr>
        <w:tblW w:w="0" w:type="auto"/>
        <w:jc w:val="left"/>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82"/>
        <w:gridCol w:w="967"/>
        <w:gridCol w:w="1209"/>
        <w:gridCol w:w="1209"/>
        <w:gridCol w:w="1149"/>
      </w:tblGrid>
      <w:tr>
        <w:trPr>
          <w:trHeight w:val="225" w:hRule="atLeast"/>
        </w:trPr>
        <w:tc>
          <w:tcPr>
            <w:tcW w:w="2882" w:type="dxa"/>
            <w:tcBorders>
              <w:top w:val="nil"/>
              <w:left w:val="nil"/>
            </w:tcBorders>
          </w:tcPr>
          <w:p>
            <w:pPr>
              <w:pStyle w:val="TableParagraph"/>
              <w:spacing w:before="0"/>
              <w:rPr>
                <w:rFonts w:ascii="Times New Roman"/>
                <w:sz w:val="16"/>
              </w:rPr>
            </w:pPr>
          </w:p>
        </w:tc>
        <w:tc>
          <w:tcPr>
            <w:tcW w:w="2176" w:type="dxa"/>
            <w:gridSpan w:val="2"/>
          </w:tcPr>
          <w:p>
            <w:pPr>
              <w:pStyle w:val="TableParagraph"/>
              <w:spacing w:line="175" w:lineRule="exact" w:before="30"/>
              <w:ind w:left="801" w:right="788"/>
              <w:jc w:val="center"/>
              <w:rPr>
                <w:sz w:val="16"/>
              </w:rPr>
            </w:pPr>
            <w:r>
              <w:rPr>
                <w:sz w:val="16"/>
              </w:rPr>
              <w:t>2024</w:t>
            </w:r>
          </w:p>
        </w:tc>
        <w:tc>
          <w:tcPr>
            <w:tcW w:w="2358" w:type="dxa"/>
            <w:gridSpan w:val="2"/>
          </w:tcPr>
          <w:p>
            <w:pPr>
              <w:pStyle w:val="TableParagraph"/>
              <w:spacing w:line="175" w:lineRule="exact" w:before="30"/>
              <w:ind w:left="891" w:right="881"/>
              <w:jc w:val="center"/>
              <w:rPr>
                <w:sz w:val="16"/>
              </w:rPr>
            </w:pPr>
            <w:r>
              <w:rPr>
                <w:sz w:val="16"/>
              </w:rPr>
              <w:t>2023</w:t>
            </w:r>
          </w:p>
        </w:tc>
      </w:tr>
      <w:tr>
        <w:trPr>
          <w:trHeight w:val="225" w:hRule="atLeast"/>
        </w:trPr>
        <w:tc>
          <w:tcPr>
            <w:tcW w:w="2882" w:type="dxa"/>
            <w:vMerge w:val="restart"/>
          </w:tcPr>
          <w:p>
            <w:pPr>
              <w:pStyle w:val="TableParagraph"/>
              <w:spacing w:before="10"/>
              <w:rPr>
                <w:b/>
                <w:sz w:val="13"/>
              </w:rPr>
            </w:pPr>
          </w:p>
          <w:p>
            <w:pPr>
              <w:pStyle w:val="TableParagraph"/>
              <w:spacing w:before="0"/>
              <w:ind w:left="69"/>
              <w:rPr>
                <w:sz w:val="16"/>
              </w:rPr>
            </w:pPr>
            <w:r>
              <w:rPr>
                <w:sz w:val="16"/>
              </w:rPr>
              <w:t>Tipo</w:t>
            </w:r>
          </w:p>
        </w:tc>
        <w:tc>
          <w:tcPr>
            <w:tcW w:w="2176" w:type="dxa"/>
            <w:gridSpan w:val="2"/>
          </w:tcPr>
          <w:p>
            <w:pPr>
              <w:pStyle w:val="TableParagraph"/>
              <w:spacing w:line="175" w:lineRule="exact" w:before="30"/>
              <w:ind w:left="801" w:right="790"/>
              <w:jc w:val="center"/>
              <w:rPr>
                <w:sz w:val="16"/>
              </w:rPr>
            </w:pPr>
            <w:r>
              <w:rPr>
                <w:sz w:val="16"/>
              </w:rPr>
              <w:t>Número</w:t>
            </w:r>
          </w:p>
        </w:tc>
        <w:tc>
          <w:tcPr>
            <w:tcW w:w="2358" w:type="dxa"/>
            <w:gridSpan w:val="2"/>
          </w:tcPr>
          <w:p>
            <w:pPr>
              <w:pStyle w:val="TableParagraph"/>
              <w:spacing w:line="175" w:lineRule="exact" w:before="30"/>
              <w:ind w:left="891" w:right="882"/>
              <w:jc w:val="center"/>
              <w:rPr>
                <w:sz w:val="16"/>
              </w:rPr>
            </w:pPr>
            <w:r>
              <w:rPr>
                <w:sz w:val="16"/>
              </w:rPr>
              <w:t>Número</w:t>
            </w:r>
          </w:p>
        </w:tc>
      </w:tr>
      <w:tr>
        <w:trPr>
          <w:trHeight w:val="299" w:hRule="atLeast"/>
        </w:trPr>
        <w:tc>
          <w:tcPr>
            <w:tcW w:w="2882" w:type="dxa"/>
            <w:vMerge/>
            <w:tcBorders>
              <w:top w:val="nil"/>
            </w:tcBorders>
          </w:tcPr>
          <w:p>
            <w:pPr>
              <w:rPr>
                <w:sz w:val="2"/>
                <w:szCs w:val="2"/>
              </w:rPr>
            </w:pPr>
          </w:p>
        </w:tc>
        <w:tc>
          <w:tcPr>
            <w:tcW w:w="967" w:type="dxa"/>
          </w:tcPr>
          <w:p>
            <w:pPr>
              <w:pStyle w:val="TableParagraph"/>
              <w:spacing w:line="175" w:lineRule="exact" w:before="104"/>
              <w:ind w:left="69"/>
              <w:rPr>
                <w:sz w:val="16"/>
              </w:rPr>
            </w:pPr>
            <w:r>
              <w:rPr>
                <w:sz w:val="16"/>
              </w:rPr>
              <w:t>Previsto</w:t>
            </w:r>
          </w:p>
        </w:tc>
        <w:tc>
          <w:tcPr>
            <w:tcW w:w="1209" w:type="dxa"/>
          </w:tcPr>
          <w:p>
            <w:pPr>
              <w:pStyle w:val="TableParagraph"/>
              <w:spacing w:line="175" w:lineRule="exact" w:before="104"/>
              <w:ind w:left="69"/>
              <w:rPr>
                <w:sz w:val="16"/>
              </w:rPr>
            </w:pPr>
            <w:r>
              <w:rPr>
                <w:sz w:val="16"/>
              </w:rPr>
              <w:t>Realizado</w:t>
            </w:r>
          </w:p>
        </w:tc>
        <w:tc>
          <w:tcPr>
            <w:tcW w:w="1209" w:type="dxa"/>
          </w:tcPr>
          <w:p>
            <w:pPr>
              <w:pStyle w:val="TableParagraph"/>
              <w:spacing w:line="175" w:lineRule="exact" w:before="104"/>
              <w:ind w:left="70"/>
              <w:rPr>
                <w:sz w:val="16"/>
              </w:rPr>
            </w:pPr>
            <w:r>
              <w:rPr>
                <w:sz w:val="16"/>
              </w:rPr>
              <w:t>Previsto</w:t>
            </w:r>
          </w:p>
        </w:tc>
        <w:tc>
          <w:tcPr>
            <w:tcW w:w="1149" w:type="dxa"/>
          </w:tcPr>
          <w:p>
            <w:pPr>
              <w:pStyle w:val="TableParagraph"/>
              <w:spacing w:line="175" w:lineRule="exact" w:before="104"/>
              <w:ind w:left="71"/>
              <w:rPr>
                <w:sz w:val="16"/>
              </w:rPr>
            </w:pPr>
            <w:r>
              <w:rPr>
                <w:sz w:val="16"/>
              </w:rPr>
              <w:t>Realizado</w:t>
            </w:r>
          </w:p>
        </w:tc>
      </w:tr>
      <w:tr>
        <w:trPr>
          <w:trHeight w:val="225" w:hRule="atLeast"/>
        </w:trPr>
        <w:tc>
          <w:tcPr>
            <w:tcW w:w="2882" w:type="dxa"/>
          </w:tcPr>
          <w:p>
            <w:pPr>
              <w:pStyle w:val="TableParagraph"/>
              <w:spacing w:line="175" w:lineRule="exact" w:before="30"/>
              <w:ind w:left="69"/>
              <w:rPr>
                <w:sz w:val="16"/>
              </w:rPr>
            </w:pPr>
            <w:r>
              <w:rPr>
                <w:sz w:val="16"/>
              </w:rPr>
              <w:t>Personas físicas</w:t>
            </w:r>
          </w:p>
        </w:tc>
        <w:tc>
          <w:tcPr>
            <w:tcW w:w="967" w:type="dxa"/>
          </w:tcPr>
          <w:p>
            <w:pPr>
              <w:pStyle w:val="TableParagraph"/>
              <w:spacing w:line="175" w:lineRule="exact" w:before="30"/>
              <w:ind w:right="54"/>
              <w:jc w:val="right"/>
              <w:rPr>
                <w:sz w:val="16"/>
              </w:rPr>
            </w:pPr>
            <w:r>
              <w:rPr>
                <w:sz w:val="16"/>
              </w:rPr>
              <w:t>480</w:t>
            </w:r>
          </w:p>
        </w:tc>
        <w:tc>
          <w:tcPr>
            <w:tcW w:w="1209" w:type="dxa"/>
          </w:tcPr>
          <w:p>
            <w:pPr>
              <w:pStyle w:val="TableParagraph"/>
              <w:spacing w:line="175" w:lineRule="exact" w:before="30"/>
              <w:ind w:right="54"/>
              <w:jc w:val="right"/>
              <w:rPr>
                <w:sz w:val="16"/>
              </w:rPr>
            </w:pPr>
            <w:r>
              <w:rPr>
                <w:sz w:val="16"/>
              </w:rPr>
              <w:t>548</w:t>
            </w:r>
          </w:p>
        </w:tc>
        <w:tc>
          <w:tcPr>
            <w:tcW w:w="1209" w:type="dxa"/>
          </w:tcPr>
          <w:p>
            <w:pPr>
              <w:pStyle w:val="TableParagraph"/>
              <w:spacing w:line="175" w:lineRule="exact" w:before="30"/>
              <w:ind w:right="53"/>
              <w:jc w:val="right"/>
              <w:rPr>
                <w:sz w:val="16"/>
              </w:rPr>
            </w:pPr>
            <w:r>
              <w:rPr>
                <w:sz w:val="16"/>
              </w:rPr>
              <w:t>480</w:t>
            </w:r>
          </w:p>
        </w:tc>
        <w:tc>
          <w:tcPr>
            <w:tcW w:w="1149" w:type="dxa"/>
          </w:tcPr>
          <w:p>
            <w:pPr>
              <w:pStyle w:val="TableParagraph"/>
              <w:spacing w:line="175" w:lineRule="exact" w:before="30"/>
              <w:ind w:right="55"/>
              <w:jc w:val="right"/>
              <w:rPr>
                <w:sz w:val="16"/>
              </w:rPr>
            </w:pPr>
            <w:r>
              <w:rPr>
                <w:sz w:val="16"/>
              </w:rPr>
              <w:t>487</w:t>
            </w:r>
          </w:p>
        </w:tc>
      </w:tr>
      <w:tr>
        <w:trPr>
          <w:trHeight w:val="225" w:hRule="atLeast"/>
        </w:trPr>
        <w:tc>
          <w:tcPr>
            <w:tcW w:w="2882" w:type="dxa"/>
          </w:tcPr>
          <w:p>
            <w:pPr>
              <w:pStyle w:val="TableParagraph"/>
              <w:spacing w:line="175" w:lineRule="exact" w:before="30"/>
              <w:ind w:left="69"/>
              <w:rPr>
                <w:sz w:val="16"/>
              </w:rPr>
            </w:pPr>
            <w:r>
              <w:rPr>
                <w:sz w:val="16"/>
              </w:rPr>
              <w:t>Personas jurídicas</w:t>
            </w:r>
          </w:p>
        </w:tc>
        <w:tc>
          <w:tcPr>
            <w:tcW w:w="967" w:type="dxa"/>
          </w:tcPr>
          <w:p>
            <w:pPr>
              <w:pStyle w:val="TableParagraph"/>
              <w:spacing w:before="0"/>
              <w:rPr>
                <w:rFonts w:ascii="Times New Roman"/>
                <w:sz w:val="16"/>
              </w:rPr>
            </w:pPr>
          </w:p>
        </w:tc>
        <w:tc>
          <w:tcPr>
            <w:tcW w:w="1209" w:type="dxa"/>
          </w:tcPr>
          <w:p>
            <w:pPr>
              <w:pStyle w:val="TableParagraph"/>
              <w:spacing w:before="0"/>
              <w:rPr>
                <w:rFonts w:ascii="Times New Roman"/>
                <w:sz w:val="16"/>
              </w:rPr>
            </w:pPr>
          </w:p>
        </w:tc>
        <w:tc>
          <w:tcPr>
            <w:tcW w:w="1209" w:type="dxa"/>
          </w:tcPr>
          <w:p>
            <w:pPr>
              <w:pStyle w:val="TableParagraph"/>
              <w:spacing w:before="0"/>
              <w:rPr>
                <w:rFonts w:ascii="Times New Roman"/>
                <w:sz w:val="16"/>
              </w:rPr>
            </w:pPr>
          </w:p>
        </w:tc>
        <w:tc>
          <w:tcPr>
            <w:tcW w:w="1149" w:type="dxa"/>
          </w:tcPr>
          <w:p>
            <w:pPr>
              <w:pStyle w:val="TableParagraph"/>
              <w:spacing w:before="0"/>
              <w:rPr>
                <w:rFonts w:ascii="Times New Roman"/>
                <w:sz w:val="16"/>
              </w:rPr>
            </w:pPr>
          </w:p>
        </w:tc>
      </w:tr>
    </w:tbl>
    <w:p>
      <w:pPr>
        <w:pStyle w:val="BodyText"/>
        <w:rPr>
          <w:b/>
          <w:sz w:val="24"/>
        </w:rPr>
      </w:pPr>
    </w:p>
    <w:p>
      <w:pPr>
        <w:pStyle w:val="BodyText"/>
        <w:spacing w:line="276" w:lineRule="auto" w:before="176"/>
        <w:ind w:left="121" w:right="1030"/>
        <w:jc w:val="both"/>
        <w:rPr>
          <w:sz w:val="28"/>
        </w:rPr>
      </w:pPr>
      <w:r>
        <w:rPr/>
        <w:t>La actividad de la escuela de música en el ejercicio 2024 ha registrado la matriculación de 365 alumnos, en las instalaciones del municipio de Los Realejos, y 183 alumnos, en las instalaciones del municipio de Icod de Los Vinos</w:t>
      </w:r>
      <w:r>
        <w:rPr>
          <w:sz w:val="28"/>
        </w:rPr>
        <w:t>. </w:t>
      </w:r>
      <w:r>
        <w:rPr/>
        <w:t>La actividad de la escuela de música en el ejercicio 2023 ha registrado la matriculación de 311 alumnos, en las instalaciones del municipio de Los Realejos, y 206 alumnos, en las instalaciones del municipio de Icod de Los</w:t>
      </w:r>
      <w:r>
        <w:rPr>
          <w:spacing w:val="-1"/>
        </w:rPr>
        <w:t> </w:t>
      </w:r>
      <w:r>
        <w:rPr/>
        <w:t>Vinos</w:t>
      </w:r>
      <w:r>
        <w:rPr>
          <w:sz w:val="28"/>
        </w:rPr>
        <w:t>.</w:t>
      </w:r>
    </w:p>
    <w:p>
      <w:pPr>
        <w:spacing w:after="0" w:line="276" w:lineRule="auto"/>
        <w:jc w:val="both"/>
        <w:rPr>
          <w:sz w:val="28"/>
        </w:rPr>
        <w:sectPr>
          <w:pgSz w:w="11900" w:h="16840"/>
          <w:pgMar w:header="739" w:footer="767" w:top="1600" w:bottom="960" w:left="1580" w:right="660"/>
        </w:sectPr>
      </w:pPr>
    </w:p>
    <w:p>
      <w:pPr>
        <w:pStyle w:val="BodyText"/>
        <w:spacing w:before="9"/>
        <w:rPr>
          <w:sz w:val="18"/>
        </w:rPr>
      </w:pPr>
    </w:p>
    <w:p>
      <w:pPr>
        <w:pStyle w:val="Heading2"/>
        <w:numPr>
          <w:ilvl w:val="1"/>
          <w:numId w:val="18"/>
        </w:numPr>
        <w:tabs>
          <w:tab w:pos="369" w:val="left" w:leader="none"/>
        </w:tabs>
        <w:spacing w:line="240" w:lineRule="auto" w:before="52" w:after="0"/>
        <w:ind w:left="368" w:right="0" w:hanging="248"/>
        <w:jc w:val="left"/>
      </w:pPr>
      <w:r>
        <w:rPr/>
        <w:t>Recursos económicos empleados de la</w:t>
      </w:r>
      <w:r>
        <w:rPr>
          <w:spacing w:val="-4"/>
        </w:rPr>
        <w:t> </w:t>
      </w:r>
      <w:r>
        <w:rPr/>
        <w:t>actividad.</w:t>
      </w:r>
    </w:p>
    <w:p>
      <w:pPr>
        <w:pStyle w:val="BodyText"/>
        <w:spacing w:before="10"/>
        <w:rPr>
          <w:b/>
        </w:rPr>
      </w:pPr>
    </w:p>
    <w:p>
      <w:pPr>
        <w:pStyle w:val="ListParagraph"/>
        <w:numPr>
          <w:ilvl w:val="2"/>
          <w:numId w:val="18"/>
        </w:numPr>
        <w:tabs>
          <w:tab w:pos="852" w:val="left" w:leader="none"/>
        </w:tabs>
        <w:spacing w:line="240" w:lineRule="auto" w:before="0" w:after="0"/>
        <w:ind w:left="851" w:right="0" w:hanging="371"/>
        <w:jc w:val="left"/>
        <w:rPr>
          <w:b/>
          <w:sz w:val="24"/>
        </w:rPr>
      </w:pPr>
      <w:r>
        <w:rPr>
          <w:b/>
          <w:sz w:val="24"/>
        </w:rPr>
        <w:t>Ejercicio</w:t>
      </w:r>
      <w:r>
        <w:rPr>
          <w:b/>
          <w:spacing w:val="-2"/>
          <w:sz w:val="24"/>
        </w:rPr>
        <w:t> </w:t>
      </w:r>
      <w:r>
        <w:rPr>
          <w:b/>
          <w:sz w:val="24"/>
        </w:rPr>
        <w:t>2024:</w:t>
      </w:r>
    </w:p>
    <w:p>
      <w:pPr>
        <w:pStyle w:val="BodyText"/>
        <w:spacing w:before="1"/>
        <w:rPr>
          <w:b/>
          <w:sz w:val="2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9"/>
        <w:gridCol w:w="1382"/>
        <w:gridCol w:w="1276"/>
      </w:tblGrid>
      <w:tr>
        <w:trPr>
          <w:trHeight w:val="225" w:hRule="atLeast"/>
        </w:trPr>
        <w:tc>
          <w:tcPr>
            <w:tcW w:w="5719" w:type="dxa"/>
            <w:vMerge w:val="restart"/>
          </w:tcPr>
          <w:p>
            <w:pPr>
              <w:pStyle w:val="TableParagraph"/>
              <w:spacing w:before="130"/>
              <w:ind w:left="69"/>
              <w:rPr>
                <w:sz w:val="16"/>
              </w:rPr>
            </w:pPr>
            <w:r>
              <w:rPr>
                <w:sz w:val="16"/>
              </w:rPr>
              <w:t>Gastos/inversiones</w:t>
            </w:r>
          </w:p>
        </w:tc>
        <w:tc>
          <w:tcPr>
            <w:tcW w:w="2658" w:type="dxa"/>
            <w:gridSpan w:val="2"/>
          </w:tcPr>
          <w:p>
            <w:pPr>
              <w:pStyle w:val="TableParagraph"/>
              <w:spacing w:line="175" w:lineRule="exact" w:before="30"/>
              <w:ind w:left="69"/>
              <w:rPr>
                <w:sz w:val="16"/>
              </w:rPr>
            </w:pPr>
            <w:r>
              <w:rPr>
                <w:sz w:val="16"/>
              </w:rPr>
              <w:t>Importe</w:t>
            </w:r>
          </w:p>
        </w:tc>
      </w:tr>
      <w:tr>
        <w:trPr>
          <w:trHeight w:val="225" w:hRule="atLeast"/>
        </w:trPr>
        <w:tc>
          <w:tcPr>
            <w:tcW w:w="5719" w:type="dxa"/>
            <w:vMerge/>
            <w:tcBorders>
              <w:top w:val="nil"/>
            </w:tcBorders>
          </w:tcPr>
          <w:p>
            <w:pPr>
              <w:rPr>
                <w:sz w:val="2"/>
                <w:szCs w:val="2"/>
              </w:rPr>
            </w:pPr>
          </w:p>
        </w:tc>
        <w:tc>
          <w:tcPr>
            <w:tcW w:w="1382" w:type="dxa"/>
          </w:tcPr>
          <w:p>
            <w:pPr>
              <w:pStyle w:val="TableParagraph"/>
              <w:spacing w:line="175" w:lineRule="exact" w:before="30"/>
              <w:ind w:left="69"/>
              <w:rPr>
                <w:sz w:val="16"/>
              </w:rPr>
            </w:pPr>
            <w:r>
              <w:rPr>
                <w:sz w:val="16"/>
              </w:rPr>
              <w:t>Previsto</w:t>
            </w:r>
          </w:p>
        </w:tc>
        <w:tc>
          <w:tcPr>
            <w:tcW w:w="1276" w:type="dxa"/>
          </w:tcPr>
          <w:p>
            <w:pPr>
              <w:pStyle w:val="TableParagraph"/>
              <w:spacing w:line="175" w:lineRule="exact" w:before="30"/>
              <w:ind w:left="69"/>
              <w:rPr>
                <w:sz w:val="16"/>
              </w:rPr>
            </w:pPr>
            <w:r>
              <w:rPr>
                <w:sz w:val="16"/>
              </w:rPr>
              <w:t>Realizado</w:t>
            </w:r>
          </w:p>
        </w:tc>
      </w:tr>
      <w:tr>
        <w:trPr>
          <w:trHeight w:val="196" w:hRule="atLeast"/>
        </w:trPr>
        <w:tc>
          <w:tcPr>
            <w:tcW w:w="5719" w:type="dxa"/>
          </w:tcPr>
          <w:p>
            <w:pPr>
              <w:pStyle w:val="TableParagraph"/>
              <w:spacing w:line="176" w:lineRule="exact" w:before="0"/>
              <w:ind w:left="69"/>
              <w:rPr>
                <w:sz w:val="16"/>
              </w:rPr>
            </w:pPr>
            <w:r>
              <w:rPr>
                <w:sz w:val="16"/>
              </w:rPr>
              <w:t>Gastos por ayudas y otros</w:t>
            </w:r>
          </w:p>
        </w:tc>
        <w:tc>
          <w:tcPr>
            <w:tcW w:w="1382" w:type="dxa"/>
          </w:tcPr>
          <w:p>
            <w:pPr>
              <w:pStyle w:val="TableParagraph"/>
              <w:spacing w:before="0"/>
              <w:rPr>
                <w:rFonts w:ascii="Times New Roman"/>
                <w:sz w:val="12"/>
              </w:rPr>
            </w:pPr>
          </w:p>
        </w:tc>
        <w:tc>
          <w:tcPr>
            <w:tcW w:w="1276" w:type="dxa"/>
          </w:tcPr>
          <w:p>
            <w:pPr>
              <w:pStyle w:val="TableParagraph"/>
              <w:spacing w:line="176" w:lineRule="exact" w:before="0"/>
              <w:ind w:right="56"/>
              <w:jc w:val="right"/>
              <w:rPr>
                <w:sz w:val="16"/>
              </w:rPr>
            </w:pPr>
            <w:r>
              <w:rPr>
                <w:sz w:val="16"/>
              </w:rPr>
              <w:t>4.930,66</w:t>
            </w:r>
          </w:p>
        </w:tc>
      </w:tr>
      <w:tr>
        <w:trPr>
          <w:trHeight w:val="194" w:hRule="atLeast"/>
        </w:trPr>
        <w:tc>
          <w:tcPr>
            <w:tcW w:w="5719" w:type="dxa"/>
          </w:tcPr>
          <w:p>
            <w:pPr>
              <w:pStyle w:val="TableParagraph"/>
              <w:spacing w:line="174" w:lineRule="exact" w:before="0"/>
              <w:ind w:left="69"/>
              <w:rPr>
                <w:sz w:val="16"/>
              </w:rPr>
            </w:pPr>
            <w:r>
              <w:rPr>
                <w:sz w:val="16"/>
              </w:rPr>
              <w:t>a) Ayudas monetarias</w:t>
            </w:r>
          </w:p>
        </w:tc>
        <w:tc>
          <w:tcPr>
            <w:tcW w:w="1382" w:type="dxa"/>
          </w:tcPr>
          <w:p>
            <w:pPr>
              <w:pStyle w:val="TableParagraph"/>
              <w:spacing w:before="0"/>
              <w:rPr>
                <w:rFonts w:ascii="Times New Roman"/>
                <w:sz w:val="12"/>
              </w:rPr>
            </w:pPr>
          </w:p>
        </w:tc>
        <w:tc>
          <w:tcPr>
            <w:tcW w:w="1276" w:type="dxa"/>
          </w:tcPr>
          <w:p>
            <w:pPr>
              <w:pStyle w:val="TableParagraph"/>
              <w:spacing w:line="174" w:lineRule="exact" w:before="0"/>
              <w:ind w:right="56"/>
              <w:jc w:val="right"/>
              <w:rPr>
                <w:sz w:val="16"/>
              </w:rPr>
            </w:pPr>
            <w:r>
              <w:rPr>
                <w:sz w:val="16"/>
              </w:rPr>
              <w:t>4.930,66</w:t>
            </w:r>
          </w:p>
        </w:tc>
      </w:tr>
      <w:tr>
        <w:trPr>
          <w:trHeight w:val="225" w:hRule="atLeast"/>
        </w:trPr>
        <w:tc>
          <w:tcPr>
            <w:tcW w:w="5719" w:type="dxa"/>
          </w:tcPr>
          <w:p>
            <w:pPr>
              <w:pStyle w:val="TableParagraph"/>
              <w:spacing w:line="175" w:lineRule="exact" w:before="30"/>
              <w:ind w:left="69"/>
              <w:rPr>
                <w:sz w:val="16"/>
              </w:rPr>
            </w:pPr>
            <w:r>
              <w:rPr>
                <w:sz w:val="16"/>
              </w:rPr>
              <w:t>b) Ayudas no monetarias</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5" w:lineRule="exact" w:before="30"/>
              <w:ind w:left="69"/>
              <w:rPr>
                <w:sz w:val="16"/>
              </w:rPr>
            </w:pPr>
            <w:r>
              <w:rPr>
                <w:sz w:val="16"/>
              </w:rPr>
              <w:t>c) Gastos por colaboraciones y órganos de gobierno</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8" w:lineRule="exact" w:before="27"/>
              <w:ind w:left="69"/>
              <w:rPr>
                <w:sz w:val="16"/>
              </w:rPr>
            </w:pPr>
            <w:r>
              <w:rPr>
                <w:sz w:val="16"/>
              </w:rPr>
              <w:t>Variación de existencias de productos terminados y en curso de fabricación</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8" w:lineRule="exact" w:before="27"/>
              <w:ind w:left="69"/>
              <w:rPr>
                <w:sz w:val="16"/>
              </w:rPr>
            </w:pPr>
            <w:r>
              <w:rPr>
                <w:sz w:val="16"/>
              </w:rPr>
              <w:t>Aprovisionamientos</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8" w:lineRule="exact" w:before="27"/>
              <w:ind w:left="69"/>
              <w:rPr>
                <w:sz w:val="16"/>
              </w:rPr>
            </w:pPr>
            <w:r>
              <w:rPr>
                <w:sz w:val="16"/>
              </w:rPr>
              <w:t>Gastos de personal</w:t>
            </w:r>
          </w:p>
        </w:tc>
        <w:tc>
          <w:tcPr>
            <w:tcW w:w="1382" w:type="dxa"/>
          </w:tcPr>
          <w:p>
            <w:pPr>
              <w:pStyle w:val="TableParagraph"/>
              <w:spacing w:line="178" w:lineRule="exact" w:before="27"/>
              <w:ind w:right="54"/>
              <w:jc w:val="right"/>
              <w:rPr>
                <w:sz w:val="16"/>
              </w:rPr>
            </w:pPr>
            <w:r>
              <w:rPr>
                <w:sz w:val="16"/>
              </w:rPr>
              <w:t>323.555,64</w:t>
            </w:r>
          </w:p>
        </w:tc>
        <w:tc>
          <w:tcPr>
            <w:tcW w:w="1276" w:type="dxa"/>
          </w:tcPr>
          <w:p>
            <w:pPr>
              <w:pStyle w:val="TableParagraph"/>
              <w:spacing w:line="178" w:lineRule="exact" w:before="27"/>
              <w:ind w:right="56"/>
              <w:jc w:val="right"/>
              <w:rPr>
                <w:sz w:val="16"/>
              </w:rPr>
            </w:pPr>
            <w:r>
              <w:rPr>
                <w:sz w:val="16"/>
              </w:rPr>
              <w:t>304.888,43</w:t>
            </w:r>
          </w:p>
        </w:tc>
      </w:tr>
      <w:tr>
        <w:trPr>
          <w:trHeight w:val="225" w:hRule="atLeast"/>
        </w:trPr>
        <w:tc>
          <w:tcPr>
            <w:tcW w:w="5719" w:type="dxa"/>
          </w:tcPr>
          <w:p>
            <w:pPr>
              <w:pStyle w:val="TableParagraph"/>
              <w:spacing w:line="178" w:lineRule="exact" w:before="27"/>
              <w:ind w:left="69"/>
              <w:rPr>
                <w:sz w:val="16"/>
              </w:rPr>
            </w:pPr>
            <w:r>
              <w:rPr>
                <w:sz w:val="16"/>
              </w:rPr>
              <w:t>Otros gastos de la actividad</w:t>
            </w:r>
          </w:p>
        </w:tc>
        <w:tc>
          <w:tcPr>
            <w:tcW w:w="1382" w:type="dxa"/>
          </w:tcPr>
          <w:p>
            <w:pPr>
              <w:pStyle w:val="TableParagraph"/>
              <w:spacing w:line="178" w:lineRule="exact" w:before="27"/>
              <w:ind w:right="54"/>
              <w:jc w:val="right"/>
              <w:rPr>
                <w:sz w:val="16"/>
              </w:rPr>
            </w:pPr>
            <w:r>
              <w:rPr>
                <w:sz w:val="16"/>
              </w:rPr>
              <w:t>71.537,50</w:t>
            </w:r>
          </w:p>
        </w:tc>
        <w:tc>
          <w:tcPr>
            <w:tcW w:w="1276" w:type="dxa"/>
          </w:tcPr>
          <w:p>
            <w:pPr>
              <w:pStyle w:val="TableParagraph"/>
              <w:spacing w:line="178" w:lineRule="exact" w:before="27"/>
              <w:ind w:right="56"/>
              <w:jc w:val="right"/>
              <w:rPr>
                <w:sz w:val="16"/>
              </w:rPr>
            </w:pPr>
            <w:r>
              <w:rPr>
                <w:sz w:val="16"/>
              </w:rPr>
              <w:t>97.357,51</w:t>
            </w:r>
          </w:p>
        </w:tc>
      </w:tr>
      <w:tr>
        <w:trPr>
          <w:trHeight w:val="222" w:hRule="atLeast"/>
        </w:trPr>
        <w:tc>
          <w:tcPr>
            <w:tcW w:w="5719" w:type="dxa"/>
          </w:tcPr>
          <w:p>
            <w:pPr>
              <w:pStyle w:val="TableParagraph"/>
              <w:spacing w:line="175" w:lineRule="exact" w:before="27"/>
              <w:ind w:left="69"/>
              <w:rPr>
                <w:sz w:val="16"/>
              </w:rPr>
            </w:pPr>
            <w:r>
              <w:rPr>
                <w:sz w:val="16"/>
              </w:rPr>
              <w:t>Amortización del Inmovilizado</w:t>
            </w:r>
          </w:p>
        </w:tc>
        <w:tc>
          <w:tcPr>
            <w:tcW w:w="1382" w:type="dxa"/>
          </w:tcPr>
          <w:p>
            <w:pPr>
              <w:pStyle w:val="TableParagraph"/>
              <w:spacing w:before="0"/>
              <w:rPr>
                <w:rFonts w:ascii="Times New Roman"/>
                <w:sz w:val="14"/>
              </w:rPr>
            </w:pPr>
          </w:p>
        </w:tc>
        <w:tc>
          <w:tcPr>
            <w:tcW w:w="1276" w:type="dxa"/>
          </w:tcPr>
          <w:p>
            <w:pPr>
              <w:pStyle w:val="TableParagraph"/>
              <w:spacing w:line="175" w:lineRule="exact" w:before="27"/>
              <w:ind w:right="56"/>
              <w:jc w:val="right"/>
              <w:rPr>
                <w:sz w:val="16"/>
              </w:rPr>
            </w:pPr>
            <w:r>
              <w:rPr>
                <w:sz w:val="16"/>
              </w:rPr>
              <w:t>6.116,99</w:t>
            </w:r>
          </w:p>
        </w:tc>
      </w:tr>
      <w:tr>
        <w:trPr>
          <w:trHeight w:val="225" w:hRule="atLeast"/>
        </w:trPr>
        <w:tc>
          <w:tcPr>
            <w:tcW w:w="5719" w:type="dxa"/>
          </w:tcPr>
          <w:p>
            <w:pPr>
              <w:pStyle w:val="TableParagraph"/>
              <w:spacing w:line="175" w:lineRule="exact" w:before="30"/>
              <w:ind w:left="69"/>
              <w:rPr>
                <w:sz w:val="16"/>
              </w:rPr>
            </w:pPr>
            <w:r>
              <w:rPr>
                <w:sz w:val="16"/>
              </w:rPr>
              <w:t>Deterioro y resultado por enajenación de inmovilizado</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5" w:lineRule="exact" w:before="30"/>
              <w:ind w:left="69"/>
              <w:rPr>
                <w:sz w:val="16"/>
              </w:rPr>
            </w:pPr>
            <w:r>
              <w:rPr>
                <w:sz w:val="16"/>
              </w:rPr>
              <w:t>Gastos financieros</w:t>
            </w:r>
          </w:p>
        </w:tc>
        <w:tc>
          <w:tcPr>
            <w:tcW w:w="1382" w:type="dxa"/>
          </w:tcPr>
          <w:p>
            <w:pPr>
              <w:pStyle w:val="TableParagraph"/>
              <w:spacing w:line="175" w:lineRule="exact" w:before="30"/>
              <w:ind w:right="54"/>
              <w:jc w:val="right"/>
              <w:rPr>
                <w:sz w:val="16"/>
              </w:rPr>
            </w:pPr>
            <w:r>
              <w:rPr>
                <w:sz w:val="16"/>
              </w:rPr>
              <w:t>2.500,00</w:t>
            </w: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5" w:lineRule="exact" w:before="30"/>
              <w:ind w:left="69"/>
              <w:rPr>
                <w:sz w:val="16"/>
              </w:rPr>
            </w:pPr>
            <w:r>
              <w:rPr>
                <w:sz w:val="16"/>
              </w:rPr>
              <w:t>Variaciones de valor razonable en instrumentos financieros</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196" w:hRule="atLeast"/>
        </w:trPr>
        <w:tc>
          <w:tcPr>
            <w:tcW w:w="5719" w:type="dxa"/>
          </w:tcPr>
          <w:p>
            <w:pPr>
              <w:pStyle w:val="TableParagraph"/>
              <w:spacing w:line="176" w:lineRule="exact" w:before="0"/>
              <w:ind w:left="69"/>
              <w:rPr>
                <w:sz w:val="16"/>
              </w:rPr>
            </w:pPr>
            <w:r>
              <w:rPr>
                <w:sz w:val="16"/>
              </w:rPr>
              <w:t>Diferencias de cambio</w:t>
            </w:r>
          </w:p>
        </w:tc>
        <w:tc>
          <w:tcPr>
            <w:tcW w:w="1382" w:type="dxa"/>
          </w:tcPr>
          <w:p>
            <w:pPr>
              <w:pStyle w:val="TableParagraph"/>
              <w:spacing w:before="0"/>
              <w:rPr>
                <w:rFonts w:ascii="Times New Roman"/>
                <w:sz w:val="12"/>
              </w:rPr>
            </w:pPr>
          </w:p>
        </w:tc>
        <w:tc>
          <w:tcPr>
            <w:tcW w:w="1276" w:type="dxa"/>
          </w:tcPr>
          <w:p>
            <w:pPr>
              <w:pStyle w:val="TableParagraph"/>
              <w:spacing w:before="0"/>
              <w:rPr>
                <w:rFonts w:ascii="Times New Roman"/>
                <w:sz w:val="12"/>
              </w:rPr>
            </w:pPr>
          </w:p>
        </w:tc>
      </w:tr>
      <w:tr>
        <w:trPr>
          <w:trHeight w:val="225" w:hRule="atLeast"/>
        </w:trPr>
        <w:tc>
          <w:tcPr>
            <w:tcW w:w="5719" w:type="dxa"/>
          </w:tcPr>
          <w:p>
            <w:pPr>
              <w:pStyle w:val="TableParagraph"/>
              <w:spacing w:line="178" w:lineRule="exact" w:before="27"/>
              <w:ind w:left="69"/>
              <w:rPr>
                <w:sz w:val="16"/>
              </w:rPr>
            </w:pPr>
            <w:r>
              <w:rPr>
                <w:sz w:val="16"/>
              </w:rPr>
              <w:t>Deterioro y resultado por enajenación de instrumentos financieros</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8" w:lineRule="exact" w:before="27"/>
              <w:ind w:left="69"/>
              <w:rPr>
                <w:sz w:val="16"/>
              </w:rPr>
            </w:pPr>
            <w:r>
              <w:rPr>
                <w:sz w:val="16"/>
              </w:rPr>
              <w:t>Impuestos sobre beneficios</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8" w:lineRule="exact" w:before="27"/>
              <w:ind w:left="69"/>
              <w:rPr>
                <w:sz w:val="16"/>
              </w:rPr>
            </w:pPr>
            <w:r>
              <w:rPr>
                <w:sz w:val="16"/>
              </w:rPr>
              <w:t>Subtotal de gastos</w:t>
            </w:r>
          </w:p>
        </w:tc>
        <w:tc>
          <w:tcPr>
            <w:tcW w:w="1382" w:type="dxa"/>
          </w:tcPr>
          <w:p>
            <w:pPr>
              <w:pStyle w:val="TableParagraph"/>
              <w:spacing w:line="178" w:lineRule="exact" w:before="27"/>
              <w:ind w:right="54"/>
              <w:jc w:val="right"/>
              <w:rPr>
                <w:sz w:val="16"/>
              </w:rPr>
            </w:pPr>
            <w:r>
              <w:rPr>
                <w:sz w:val="16"/>
              </w:rPr>
              <w:t>397.593,71</w:t>
            </w:r>
          </w:p>
        </w:tc>
        <w:tc>
          <w:tcPr>
            <w:tcW w:w="1276" w:type="dxa"/>
          </w:tcPr>
          <w:p>
            <w:pPr>
              <w:pStyle w:val="TableParagraph"/>
              <w:spacing w:line="178" w:lineRule="exact" w:before="27"/>
              <w:ind w:right="56"/>
              <w:jc w:val="right"/>
              <w:rPr>
                <w:sz w:val="16"/>
              </w:rPr>
            </w:pPr>
            <w:r>
              <w:rPr>
                <w:sz w:val="16"/>
              </w:rPr>
              <w:t>413.293,59</w:t>
            </w:r>
          </w:p>
        </w:tc>
      </w:tr>
      <w:tr>
        <w:trPr>
          <w:trHeight w:val="222" w:hRule="atLeast"/>
        </w:trPr>
        <w:tc>
          <w:tcPr>
            <w:tcW w:w="5719" w:type="dxa"/>
          </w:tcPr>
          <w:p>
            <w:pPr>
              <w:pStyle w:val="TableParagraph"/>
              <w:spacing w:line="175" w:lineRule="exact" w:before="27"/>
              <w:ind w:left="69"/>
              <w:rPr>
                <w:sz w:val="16"/>
              </w:rPr>
            </w:pPr>
            <w:r>
              <w:rPr>
                <w:sz w:val="16"/>
              </w:rPr>
              <w:t>Adquisiciones del Inmovilizado (excepto Bienes Patrimonio Histórico)</w:t>
            </w:r>
          </w:p>
        </w:tc>
        <w:tc>
          <w:tcPr>
            <w:tcW w:w="1382" w:type="dxa"/>
          </w:tcPr>
          <w:p>
            <w:pPr>
              <w:pStyle w:val="TableParagraph"/>
              <w:spacing w:before="0"/>
              <w:rPr>
                <w:rFonts w:ascii="Times New Roman"/>
                <w:sz w:val="14"/>
              </w:rPr>
            </w:pPr>
          </w:p>
        </w:tc>
        <w:tc>
          <w:tcPr>
            <w:tcW w:w="1276" w:type="dxa"/>
          </w:tcPr>
          <w:p>
            <w:pPr>
              <w:pStyle w:val="TableParagraph"/>
              <w:spacing w:line="175" w:lineRule="exact" w:before="27"/>
              <w:ind w:right="56"/>
              <w:jc w:val="right"/>
              <w:rPr>
                <w:sz w:val="16"/>
              </w:rPr>
            </w:pPr>
            <w:r>
              <w:rPr>
                <w:sz w:val="16"/>
              </w:rPr>
              <w:t>6.708,75</w:t>
            </w:r>
          </w:p>
        </w:tc>
      </w:tr>
      <w:tr>
        <w:trPr>
          <w:trHeight w:val="225" w:hRule="atLeast"/>
        </w:trPr>
        <w:tc>
          <w:tcPr>
            <w:tcW w:w="5719" w:type="dxa"/>
          </w:tcPr>
          <w:p>
            <w:pPr>
              <w:pStyle w:val="TableParagraph"/>
              <w:spacing w:line="175" w:lineRule="exact" w:before="30"/>
              <w:ind w:left="69"/>
              <w:rPr>
                <w:sz w:val="16"/>
              </w:rPr>
            </w:pPr>
            <w:r>
              <w:rPr>
                <w:sz w:val="16"/>
              </w:rPr>
              <w:t>Adquisiciones Bienes Patrimonio Histórico</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196" w:hRule="atLeast"/>
        </w:trPr>
        <w:tc>
          <w:tcPr>
            <w:tcW w:w="5719" w:type="dxa"/>
          </w:tcPr>
          <w:p>
            <w:pPr>
              <w:pStyle w:val="TableParagraph"/>
              <w:spacing w:line="175" w:lineRule="exact" w:before="1"/>
              <w:ind w:left="69"/>
              <w:rPr>
                <w:sz w:val="16"/>
              </w:rPr>
            </w:pPr>
            <w:r>
              <w:rPr>
                <w:sz w:val="16"/>
              </w:rPr>
              <w:t>Subtotal recursos</w:t>
            </w:r>
          </w:p>
        </w:tc>
        <w:tc>
          <w:tcPr>
            <w:tcW w:w="1382" w:type="dxa"/>
          </w:tcPr>
          <w:p>
            <w:pPr>
              <w:pStyle w:val="TableParagraph"/>
              <w:spacing w:before="0"/>
              <w:rPr>
                <w:rFonts w:ascii="Times New Roman"/>
                <w:sz w:val="12"/>
              </w:rPr>
            </w:pPr>
          </w:p>
        </w:tc>
        <w:tc>
          <w:tcPr>
            <w:tcW w:w="1276" w:type="dxa"/>
          </w:tcPr>
          <w:p>
            <w:pPr>
              <w:pStyle w:val="TableParagraph"/>
              <w:spacing w:before="0"/>
              <w:rPr>
                <w:rFonts w:ascii="Times New Roman"/>
                <w:sz w:val="12"/>
              </w:rPr>
            </w:pPr>
          </w:p>
        </w:tc>
      </w:tr>
      <w:tr>
        <w:trPr>
          <w:trHeight w:val="304" w:hRule="atLeast"/>
        </w:trPr>
        <w:tc>
          <w:tcPr>
            <w:tcW w:w="5719" w:type="dxa"/>
          </w:tcPr>
          <w:p>
            <w:pPr>
              <w:pStyle w:val="TableParagraph"/>
              <w:spacing w:before="27"/>
              <w:ind w:left="69"/>
              <w:rPr>
                <w:sz w:val="16"/>
              </w:rPr>
            </w:pPr>
            <w:r>
              <w:rPr>
                <w:sz w:val="16"/>
              </w:rPr>
              <w:t>TOTAL</w:t>
            </w:r>
          </w:p>
        </w:tc>
        <w:tc>
          <w:tcPr>
            <w:tcW w:w="1382" w:type="dxa"/>
          </w:tcPr>
          <w:p>
            <w:pPr>
              <w:pStyle w:val="TableParagraph"/>
              <w:spacing w:before="27"/>
              <w:ind w:right="54"/>
              <w:jc w:val="right"/>
              <w:rPr>
                <w:sz w:val="16"/>
              </w:rPr>
            </w:pPr>
            <w:r>
              <w:rPr>
                <w:sz w:val="16"/>
              </w:rPr>
              <w:t>397.593,71</w:t>
            </w:r>
          </w:p>
        </w:tc>
        <w:tc>
          <w:tcPr>
            <w:tcW w:w="1276" w:type="dxa"/>
          </w:tcPr>
          <w:p>
            <w:pPr>
              <w:pStyle w:val="TableParagraph"/>
              <w:spacing w:before="27"/>
              <w:ind w:right="56"/>
              <w:jc w:val="right"/>
              <w:rPr>
                <w:sz w:val="16"/>
              </w:rPr>
            </w:pPr>
            <w:r>
              <w:rPr>
                <w:sz w:val="16"/>
              </w:rPr>
              <w:t>420.002,34</w:t>
            </w:r>
          </w:p>
        </w:tc>
      </w:tr>
    </w:tbl>
    <w:p>
      <w:pPr>
        <w:pStyle w:val="BodyText"/>
        <w:rPr>
          <w:b/>
          <w:sz w:val="24"/>
        </w:rPr>
      </w:pPr>
    </w:p>
    <w:p>
      <w:pPr>
        <w:pStyle w:val="BodyText"/>
        <w:spacing w:before="12"/>
        <w:rPr>
          <w:b/>
        </w:rPr>
      </w:pPr>
    </w:p>
    <w:p>
      <w:pPr>
        <w:pStyle w:val="ListParagraph"/>
        <w:numPr>
          <w:ilvl w:val="2"/>
          <w:numId w:val="18"/>
        </w:numPr>
        <w:tabs>
          <w:tab w:pos="492" w:val="left" w:leader="none"/>
        </w:tabs>
        <w:spacing w:line="240" w:lineRule="auto" w:before="0" w:after="0"/>
        <w:ind w:left="491" w:right="0" w:hanging="371"/>
        <w:jc w:val="left"/>
        <w:rPr>
          <w:b/>
          <w:sz w:val="24"/>
        </w:rPr>
      </w:pPr>
      <w:r>
        <w:rPr>
          <w:b/>
          <w:sz w:val="24"/>
        </w:rPr>
        <w:t>Ejercicio</w:t>
      </w:r>
      <w:r>
        <w:rPr>
          <w:b/>
          <w:spacing w:val="-7"/>
          <w:sz w:val="24"/>
        </w:rPr>
        <w:t> </w:t>
      </w:r>
      <w:r>
        <w:rPr>
          <w:b/>
          <w:sz w:val="24"/>
        </w:rPr>
        <w:t>2024.</w:t>
      </w:r>
    </w:p>
    <w:p>
      <w:pPr>
        <w:pStyle w:val="BodyText"/>
        <w:spacing w:before="1"/>
        <w:rPr>
          <w:b/>
          <w:sz w:val="2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50"/>
        <w:gridCol w:w="871"/>
        <w:gridCol w:w="849"/>
        <w:gridCol w:w="907"/>
        <w:gridCol w:w="871"/>
        <w:gridCol w:w="967"/>
      </w:tblGrid>
      <w:tr>
        <w:trPr>
          <w:trHeight w:val="585" w:hRule="atLeast"/>
        </w:trPr>
        <w:tc>
          <w:tcPr>
            <w:tcW w:w="4550" w:type="dxa"/>
          </w:tcPr>
          <w:p>
            <w:pPr>
              <w:pStyle w:val="TableParagraph"/>
              <w:spacing w:before="9"/>
              <w:rPr>
                <w:b/>
                <w:sz w:val="15"/>
              </w:rPr>
            </w:pPr>
          </w:p>
          <w:p>
            <w:pPr>
              <w:pStyle w:val="TableParagraph"/>
              <w:spacing w:before="1"/>
              <w:ind w:left="69"/>
              <w:rPr>
                <w:sz w:val="16"/>
              </w:rPr>
            </w:pPr>
            <w:r>
              <w:rPr>
                <w:sz w:val="16"/>
              </w:rPr>
              <w:t>Gastos/inversiones</w:t>
            </w:r>
          </w:p>
        </w:tc>
        <w:tc>
          <w:tcPr>
            <w:tcW w:w="871" w:type="dxa"/>
          </w:tcPr>
          <w:p>
            <w:pPr>
              <w:pStyle w:val="TableParagraph"/>
              <w:spacing w:before="0"/>
              <w:rPr>
                <w:b/>
                <w:sz w:val="16"/>
              </w:rPr>
            </w:pPr>
          </w:p>
          <w:p>
            <w:pPr>
              <w:pStyle w:val="TableParagraph"/>
              <w:spacing w:before="11"/>
              <w:rPr>
                <w:b/>
                <w:sz w:val="15"/>
              </w:rPr>
            </w:pPr>
          </w:p>
          <w:p>
            <w:pPr>
              <w:pStyle w:val="TableParagraph"/>
              <w:spacing w:line="175" w:lineRule="exact" w:before="0"/>
              <w:ind w:left="69"/>
              <w:rPr>
                <w:sz w:val="16"/>
              </w:rPr>
            </w:pPr>
            <w:r>
              <w:rPr>
                <w:sz w:val="16"/>
              </w:rPr>
              <w:t>Música</w:t>
            </w:r>
          </w:p>
        </w:tc>
        <w:tc>
          <w:tcPr>
            <w:tcW w:w="849" w:type="dxa"/>
          </w:tcPr>
          <w:p>
            <w:pPr>
              <w:pStyle w:val="TableParagraph"/>
              <w:spacing w:before="0"/>
              <w:rPr>
                <w:b/>
                <w:sz w:val="16"/>
              </w:rPr>
            </w:pPr>
          </w:p>
          <w:p>
            <w:pPr>
              <w:pStyle w:val="TableParagraph"/>
              <w:spacing w:before="11"/>
              <w:rPr>
                <w:b/>
                <w:sz w:val="15"/>
              </w:rPr>
            </w:pPr>
          </w:p>
          <w:p>
            <w:pPr>
              <w:pStyle w:val="TableParagraph"/>
              <w:spacing w:line="175" w:lineRule="exact" w:before="0"/>
              <w:ind w:left="67"/>
              <w:rPr>
                <w:sz w:val="16"/>
              </w:rPr>
            </w:pPr>
            <w:r>
              <w:rPr>
                <w:sz w:val="16"/>
              </w:rPr>
              <w:t>Biblioteca</w:t>
            </w:r>
          </w:p>
        </w:tc>
        <w:tc>
          <w:tcPr>
            <w:tcW w:w="907" w:type="dxa"/>
          </w:tcPr>
          <w:p>
            <w:pPr>
              <w:pStyle w:val="TableParagraph"/>
              <w:spacing w:before="9"/>
              <w:rPr>
                <w:b/>
                <w:sz w:val="15"/>
              </w:rPr>
            </w:pPr>
          </w:p>
          <w:p>
            <w:pPr>
              <w:pStyle w:val="TableParagraph"/>
              <w:spacing w:line="190" w:lineRule="atLeast" w:before="1"/>
              <w:ind w:left="87" w:right="59" w:firstLine="201"/>
              <w:rPr>
                <w:sz w:val="16"/>
              </w:rPr>
            </w:pPr>
            <w:r>
              <w:rPr>
                <w:sz w:val="16"/>
              </w:rPr>
              <w:t>Total actividades</w:t>
            </w:r>
          </w:p>
        </w:tc>
        <w:tc>
          <w:tcPr>
            <w:tcW w:w="871" w:type="dxa"/>
          </w:tcPr>
          <w:p>
            <w:pPr>
              <w:pStyle w:val="TableParagraph"/>
              <w:spacing w:before="0"/>
              <w:ind w:left="118" w:right="108" w:hanging="3"/>
              <w:jc w:val="center"/>
              <w:rPr>
                <w:sz w:val="16"/>
              </w:rPr>
            </w:pPr>
            <w:r>
              <w:rPr>
                <w:sz w:val="16"/>
              </w:rPr>
              <w:t>No  imputado</w:t>
            </w:r>
          </w:p>
          <w:p>
            <w:pPr>
              <w:pStyle w:val="TableParagraph"/>
              <w:spacing w:line="175" w:lineRule="exact" w:before="0"/>
              <w:ind w:left="46" w:right="43"/>
              <w:jc w:val="center"/>
              <w:rPr>
                <w:sz w:val="16"/>
              </w:rPr>
            </w:pPr>
            <w:r>
              <w:rPr>
                <w:sz w:val="16"/>
              </w:rPr>
              <w:t>actividades</w:t>
            </w:r>
          </w:p>
        </w:tc>
        <w:tc>
          <w:tcPr>
            <w:tcW w:w="967" w:type="dxa"/>
          </w:tcPr>
          <w:p>
            <w:pPr>
              <w:pStyle w:val="TableParagraph"/>
              <w:spacing w:before="0"/>
              <w:rPr>
                <w:b/>
                <w:sz w:val="16"/>
              </w:rPr>
            </w:pPr>
          </w:p>
          <w:p>
            <w:pPr>
              <w:pStyle w:val="TableParagraph"/>
              <w:spacing w:before="11"/>
              <w:rPr>
                <w:b/>
                <w:sz w:val="15"/>
              </w:rPr>
            </w:pPr>
          </w:p>
          <w:p>
            <w:pPr>
              <w:pStyle w:val="TableParagraph"/>
              <w:spacing w:line="175" w:lineRule="exact" w:before="0"/>
              <w:ind w:left="270"/>
              <w:rPr>
                <w:sz w:val="16"/>
              </w:rPr>
            </w:pPr>
            <w:r>
              <w:rPr>
                <w:sz w:val="16"/>
              </w:rPr>
              <w:t>TOTAL</w:t>
            </w:r>
          </w:p>
        </w:tc>
      </w:tr>
      <w:tr>
        <w:trPr>
          <w:trHeight w:val="239" w:hRule="atLeast"/>
        </w:trPr>
        <w:tc>
          <w:tcPr>
            <w:tcW w:w="4550" w:type="dxa"/>
          </w:tcPr>
          <w:p>
            <w:pPr>
              <w:pStyle w:val="TableParagraph"/>
              <w:spacing w:line="175" w:lineRule="exact" w:before="44"/>
              <w:ind w:left="69"/>
              <w:rPr>
                <w:sz w:val="16"/>
              </w:rPr>
            </w:pPr>
            <w:r>
              <w:rPr>
                <w:sz w:val="16"/>
              </w:rPr>
              <w:t>Gastos por ayudas y otros</w:t>
            </w:r>
          </w:p>
        </w:tc>
        <w:tc>
          <w:tcPr>
            <w:tcW w:w="871" w:type="dxa"/>
          </w:tcPr>
          <w:p>
            <w:pPr>
              <w:pStyle w:val="TableParagraph"/>
              <w:spacing w:line="175" w:lineRule="exact" w:before="44"/>
              <w:ind w:right="57"/>
              <w:jc w:val="right"/>
              <w:rPr>
                <w:sz w:val="16"/>
              </w:rPr>
            </w:pPr>
            <w:r>
              <w:rPr>
                <w:sz w:val="16"/>
              </w:rPr>
              <w:t>4.930,66</w:t>
            </w:r>
          </w:p>
        </w:tc>
        <w:tc>
          <w:tcPr>
            <w:tcW w:w="849" w:type="dxa"/>
          </w:tcPr>
          <w:p>
            <w:pPr>
              <w:pStyle w:val="TableParagraph"/>
              <w:spacing w:before="0"/>
              <w:rPr>
                <w:rFonts w:ascii="Times New Roman"/>
                <w:sz w:val="16"/>
              </w:rPr>
            </w:pPr>
          </w:p>
        </w:tc>
        <w:tc>
          <w:tcPr>
            <w:tcW w:w="907" w:type="dxa"/>
          </w:tcPr>
          <w:p>
            <w:pPr>
              <w:pStyle w:val="TableParagraph"/>
              <w:spacing w:line="175" w:lineRule="exact" w:before="44"/>
              <w:ind w:right="92"/>
              <w:jc w:val="right"/>
              <w:rPr>
                <w:sz w:val="16"/>
              </w:rPr>
            </w:pPr>
            <w:r>
              <w:rPr>
                <w:sz w:val="16"/>
              </w:rPr>
              <w:t>4.930,66</w:t>
            </w:r>
          </w:p>
        </w:tc>
        <w:tc>
          <w:tcPr>
            <w:tcW w:w="871" w:type="dxa"/>
          </w:tcPr>
          <w:p>
            <w:pPr>
              <w:pStyle w:val="TableParagraph"/>
              <w:spacing w:before="0"/>
              <w:rPr>
                <w:rFonts w:ascii="Times New Roman"/>
                <w:sz w:val="16"/>
              </w:rPr>
            </w:pPr>
          </w:p>
        </w:tc>
        <w:tc>
          <w:tcPr>
            <w:tcW w:w="967" w:type="dxa"/>
          </w:tcPr>
          <w:p>
            <w:pPr>
              <w:pStyle w:val="TableParagraph"/>
              <w:spacing w:line="175" w:lineRule="exact" w:before="44"/>
              <w:ind w:right="56"/>
              <w:jc w:val="right"/>
              <w:rPr>
                <w:sz w:val="16"/>
              </w:rPr>
            </w:pPr>
            <w:r>
              <w:rPr>
                <w:sz w:val="16"/>
              </w:rPr>
              <w:t>4.930,66</w:t>
            </w:r>
          </w:p>
        </w:tc>
      </w:tr>
      <w:tr>
        <w:trPr>
          <w:trHeight w:val="256" w:hRule="atLeast"/>
        </w:trPr>
        <w:tc>
          <w:tcPr>
            <w:tcW w:w="4550" w:type="dxa"/>
          </w:tcPr>
          <w:p>
            <w:pPr>
              <w:pStyle w:val="TableParagraph"/>
              <w:spacing w:line="178" w:lineRule="exact" w:before="58"/>
              <w:ind w:left="69"/>
              <w:rPr>
                <w:sz w:val="16"/>
              </w:rPr>
            </w:pPr>
            <w:r>
              <w:rPr>
                <w:sz w:val="16"/>
              </w:rPr>
              <w:t>a) Ayudas monetarias</w:t>
            </w:r>
          </w:p>
        </w:tc>
        <w:tc>
          <w:tcPr>
            <w:tcW w:w="871" w:type="dxa"/>
          </w:tcPr>
          <w:p>
            <w:pPr>
              <w:pStyle w:val="TableParagraph"/>
              <w:spacing w:line="178" w:lineRule="exact" w:before="58"/>
              <w:ind w:right="57"/>
              <w:jc w:val="right"/>
              <w:rPr>
                <w:sz w:val="16"/>
              </w:rPr>
            </w:pPr>
            <w:r>
              <w:rPr>
                <w:sz w:val="16"/>
              </w:rPr>
              <w:t>4.930,66</w:t>
            </w:r>
          </w:p>
        </w:tc>
        <w:tc>
          <w:tcPr>
            <w:tcW w:w="849" w:type="dxa"/>
          </w:tcPr>
          <w:p>
            <w:pPr>
              <w:pStyle w:val="TableParagraph"/>
              <w:spacing w:before="0"/>
              <w:rPr>
                <w:rFonts w:ascii="Times New Roman"/>
                <w:sz w:val="16"/>
              </w:rPr>
            </w:pPr>
          </w:p>
        </w:tc>
        <w:tc>
          <w:tcPr>
            <w:tcW w:w="907" w:type="dxa"/>
          </w:tcPr>
          <w:p>
            <w:pPr>
              <w:pStyle w:val="TableParagraph"/>
              <w:spacing w:line="178" w:lineRule="exact" w:before="58"/>
              <w:ind w:right="56"/>
              <w:jc w:val="right"/>
              <w:rPr>
                <w:sz w:val="16"/>
              </w:rPr>
            </w:pPr>
            <w:r>
              <w:rPr>
                <w:sz w:val="16"/>
              </w:rPr>
              <w:t>4.930,66</w:t>
            </w:r>
          </w:p>
        </w:tc>
        <w:tc>
          <w:tcPr>
            <w:tcW w:w="871" w:type="dxa"/>
          </w:tcPr>
          <w:p>
            <w:pPr>
              <w:pStyle w:val="TableParagraph"/>
              <w:spacing w:before="0"/>
              <w:rPr>
                <w:rFonts w:ascii="Times New Roman"/>
                <w:sz w:val="16"/>
              </w:rPr>
            </w:pPr>
          </w:p>
        </w:tc>
        <w:tc>
          <w:tcPr>
            <w:tcW w:w="967" w:type="dxa"/>
          </w:tcPr>
          <w:p>
            <w:pPr>
              <w:pStyle w:val="TableParagraph"/>
              <w:spacing w:line="178" w:lineRule="exact" w:before="58"/>
              <w:ind w:right="56"/>
              <w:jc w:val="right"/>
              <w:rPr>
                <w:sz w:val="16"/>
              </w:rPr>
            </w:pPr>
            <w:r>
              <w:rPr>
                <w:sz w:val="16"/>
              </w:rPr>
              <w:t>4.960,66</w:t>
            </w:r>
          </w:p>
        </w:tc>
      </w:tr>
      <w:tr>
        <w:trPr>
          <w:trHeight w:val="254" w:hRule="atLeast"/>
        </w:trPr>
        <w:tc>
          <w:tcPr>
            <w:tcW w:w="4550" w:type="dxa"/>
          </w:tcPr>
          <w:p>
            <w:pPr>
              <w:pStyle w:val="TableParagraph"/>
              <w:spacing w:line="175" w:lineRule="exact" w:before="58"/>
              <w:ind w:left="69"/>
              <w:rPr>
                <w:sz w:val="16"/>
              </w:rPr>
            </w:pPr>
            <w:r>
              <w:rPr>
                <w:sz w:val="16"/>
              </w:rPr>
              <w:t>b) Ayudas no monetarias</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54" w:hRule="atLeast"/>
        </w:trPr>
        <w:tc>
          <w:tcPr>
            <w:tcW w:w="4550" w:type="dxa"/>
          </w:tcPr>
          <w:p>
            <w:pPr>
              <w:pStyle w:val="TableParagraph"/>
              <w:spacing w:line="175" w:lineRule="exact" w:before="58"/>
              <w:ind w:left="69"/>
              <w:rPr>
                <w:sz w:val="16"/>
              </w:rPr>
            </w:pPr>
            <w:r>
              <w:rPr>
                <w:sz w:val="16"/>
              </w:rPr>
              <w:t>c) Gastos por colaboraciones y órganos de gobierno</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5" w:lineRule="exact" w:before="30"/>
              <w:ind w:left="69"/>
              <w:rPr>
                <w:sz w:val="16"/>
              </w:rPr>
            </w:pPr>
            <w:r>
              <w:rPr>
                <w:sz w:val="16"/>
              </w:rPr>
              <w:t>Variación existencias productos terminados y en curso fabricación</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5" w:lineRule="exact" w:before="30"/>
              <w:ind w:left="69"/>
              <w:rPr>
                <w:sz w:val="16"/>
              </w:rPr>
            </w:pPr>
            <w:r>
              <w:rPr>
                <w:sz w:val="16"/>
              </w:rPr>
              <w:t>Aprovisionamientos</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5" w:lineRule="exact" w:before="30"/>
              <w:ind w:left="69"/>
              <w:rPr>
                <w:sz w:val="16"/>
              </w:rPr>
            </w:pPr>
            <w:r>
              <w:rPr>
                <w:sz w:val="16"/>
              </w:rPr>
              <w:t>Gastos de personal</w:t>
            </w:r>
          </w:p>
        </w:tc>
        <w:tc>
          <w:tcPr>
            <w:tcW w:w="871" w:type="dxa"/>
          </w:tcPr>
          <w:p>
            <w:pPr>
              <w:pStyle w:val="TableParagraph"/>
              <w:spacing w:line="175" w:lineRule="exact" w:before="30"/>
              <w:ind w:left="69"/>
              <w:rPr>
                <w:sz w:val="16"/>
              </w:rPr>
            </w:pPr>
            <w:r>
              <w:rPr>
                <w:sz w:val="16"/>
              </w:rPr>
              <w:t>304.888,43</w:t>
            </w:r>
          </w:p>
        </w:tc>
        <w:tc>
          <w:tcPr>
            <w:tcW w:w="849" w:type="dxa"/>
          </w:tcPr>
          <w:p>
            <w:pPr>
              <w:pStyle w:val="TableParagraph"/>
              <w:spacing w:before="0"/>
              <w:rPr>
                <w:rFonts w:ascii="Times New Roman"/>
                <w:sz w:val="16"/>
              </w:rPr>
            </w:pPr>
          </w:p>
        </w:tc>
        <w:tc>
          <w:tcPr>
            <w:tcW w:w="907" w:type="dxa"/>
          </w:tcPr>
          <w:p>
            <w:pPr>
              <w:pStyle w:val="TableParagraph"/>
              <w:spacing w:line="175" w:lineRule="exact" w:before="30"/>
              <w:ind w:right="75"/>
              <w:jc w:val="right"/>
              <w:rPr>
                <w:sz w:val="16"/>
              </w:rPr>
            </w:pPr>
            <w:r>
              <w:rPr>
                <w:sz w:val="16"/>
              </w:rPr>
              <w:t>304.888,43</w:t>
            </w:r>
          </w:p>
        </w:tc>
        <w:tc>
          <w:tcPr>
            <w:tcW w:w="871" w:type="dxa"/>
          </w:tcPr>
          <w:p>
            <w:pPr>
              <w:pStyle w:val="TableParagraph"/>
              <w:spacing w:before="0"/>
              <w:rPr>
                <w:rFonts w:ascii="Times New Roman"/>
                <w:sz w:val="16"/>
              </w:rPr>
            </w:pPr>
          </w:p>
        </w:tc>
        <w:tc>
          <w:tcPr>
            <w:tcW w:w="967" w:type="dxa"/>
          </w:tcPr>
          <w:p>
            <w:pPr>
              <w:pStyle w:val="TableParagraph"/>
              <w:spacing w:line="175" w:lineRule="exact" w:before="30"/>
              <w:ind w:right="56"/>
              <w:jc w:val="right"/>
              <w:rPr>
                <w:sz w:val="16"/>
              </w:rPr>
            </w:pPr>
            <w:r>
              <w:rPr>
                <w:sz w:val="16"/>
              </w:rPr>
              <w:t>304.888,43</w:t>
            </w:r>
          </w:p>
        </w:tc>
      </w:tr>
      <w:tr>
        <w:trPr>
          <w:trHeight w:val="225" w:hRule="atLeast"/>
        </w:trPr>
        <w:tc>
          <w:tcPr>
            <w:tcW w:w="4550" w:type="dxa"/>
          </w:tcPr>
          <w:p>
            <w:pPr>
              <w:pStyle w:val="TableParagraph"/>
              <w:spacing w:line="175" w:lineRule="exact" w:before="30"/>
              <w:ind w:left="69"/>
              <w:rPr>
                <w:sz w:val="16"/>
              </w:rPr>
            </w:pPr>
            <w:r>
              <w:rPr>
                <w:sz w:val="16"/>
              </w:rPr>
              <w:t>Otros gastos de la actividad</w:t>
            </w:r>
          </w:p>
        </w:tc>
        <w:tc>
          <w:tcPr>
            <w:tcW w:w="871" w:type="dxa"/>
          </w:tcPr>
          <w:p>
            <w:pPr>
              <w:pStyle w:val="TableParagraph"/>
              <w:spacing w:line="175" w:lineRule="exact" w:before="30"/>
              <w:ind w:right="57"/>
              <w:jc w:val="right"/>
              <w:rPr>
                <w:sz w:val="16"/>
              </w:rPr>
            </w:pPr>
            <w:r>
              <w:rPr>
                <w:sz w:val="16"/>
              </w:rPr>
              <w:t>27.597,15</w:t>
            </w:r>
          </w:p>
        </w:tc>
        <w:tc>
          <w:tcPr>
            <w:tcW w:w="849" w:type="dxa"/>
          </w:tcPr>
          <w:p>
            <w:pPr>
              <w:pStyle w:val="TableParagraph"/>
              <w:spacing w:line="175" w:lineRule="exact" w:before="30"/>
              <w:ind w:left="130"/>
              <w:rPr>
                <w:sz w:val="16"/>
              </w:rPr>
            </w:pPr>
            <w:r>
              <w:rPr>
                <w:sz w:val="16"/>
              </w:rPr>
              <w:t>45.833,30</w:t>
            </w:r>
          </w:p>
        </w:tc>
        <w:tc>
          <w:tcPr>
            <w:tcW w:w="907" w:type="dxa"/>
          </w:tcPr>
          <w:p>
            <w:pPr>
              <w:pStyle w:val="TableParagraph"/>
              <w:spacing w:line="175" w:lineRule="exact" w:before="30"/>
              <w:ind w:right="56"/>
              <w:jc w:val="right"/>
              <w:rPr>
                <w:sz w:val="16"/>
              </w:rPr>
            </w:pPr>
            <w:r>
              <w:rPr>
                <w:sz w:val="16"/>
              </w:rPr>
              <w:t>73.430,45</w:t>
            </w:r>
          </w:p>
        </w:tc>
        <w:tc>
          <w:tcPr>
            <w:tcW w:w="871" w:type="dxa"/>
          </w:tcPr>
          <w:p>
            <w:pPr>
              <w:pStyle w:val="TableParagraph"/>
              <w:spacing w:line="175" w:lineRule="exact" w:before="30"/>
              <w:ind w:right="56"/>
              <w:jc w:val="right"/>
              <w:rPr>
                <w:sz w:val="16"/>
              </w:rPr>
            </w:pPr>
            <w:r>
              <w:rPr>
                <w:sz w:val="16"/>
              </w:rPr>
              <w:t>23.927,06</w:t>
            </w:r>
          </w:p>
        </w:tc>
        <w:tc>
          <w:tcPr>
            <w:tcW w:w="967" w:type="dxa"/>
          </w:tcPr>
          <w:p>
            <w:pPr>
              <w:pStyle w:val="TableParagraph"/>
              <w:spacing w:line="175" w:lineRule="exact" w:before="30"/>
              <w:ind w:right="56"/>
              <w:jc w:val="right"/>
              <w:rPr>
                <w:sz w:val="16"/>
              </w:rPr>
            </w:pPr>
            <w:r>
              <w:rPr>
                <w:sz w:val="16"/>
              </w:rPr>
              <w:t>97.357,51</w:t>
            </w:r>
          </w:p>
        </w:tc>
      </w:tr>
      <w:tr>
        <w:trPr>
          <w:trHeight w:val="225" w:hRule="atLeast"/>
        </w:trPr>
        <w:tc>
          <w:tcPr>
            <w:tcW w:w="4550" w:type="dxa"/>
          </w:tcPr>
          <w:p>
            <w:pPr>
              <w:pStyle w:val="TableParagraph"/>
              <w:spacing w:line="175" w:lineRule="exact" w:before="30"/>
              <w:ind w:left="69"/>
              <w:rPr>
                <w:sz w:val="16"/>
              </w:rPr>
            </w:pPr>
            <w:r>
              <w:rPr>
                <w:sz w:val="16"/>
              </w:rPr>
              <w:t>Amortización del Inmovilizado</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5" w:lineRule="exact" w:before="30"/>
              <w:ind w:left="69"/>
              <w:rPr>
                <w:sz w:val="16"/>
              </w:rPr>
            </w:pPr>
            <w:r>
              <w:rPr>
                <w:sz w:val="16"/>
              </w:rPr>
              <w:t>Deterioro y resultado por enajenación de inmovilizado</w:t>
            </w:r>
          </w:p>
        </w:tc>
        <w:tc>
          <w:tcPr>
            <w:tcW w:w="871" w:type="dxa"/>
          </w:tcPr>
          <w:p>
            <w:pPr>
              <w:pStyle w:val="TableParagraph"/>
              <w:spacing w:line="175" w:lineRule="exact" w:before="30"/>
              <w:ind w:right="57"/>
              <w:jc w:val="right"/>
              <w:rPr>
                <w:sz w:val="16"/>
              </w:rPr>
            </w:pPr>
            <w:r>
              <w:rPr>
                <w:sz w:val="16"/>
              </w:rPr>
              <w:t>6.116,99</w:t>
            </w:r>
          </w:p>
        </w:tc>
        <w:tc>
          <w:tcPr>
            <w:tcW w:w="849" w:type="dxa"/>
          </w:tcPr>
          <w:p>
            <w:pPr>
              <w:pStyle w:val="TableParagraph"/>
              <w:spacing w:before="0"/>
              <w:rPr>
                <w:rFonts w:ascii="Times New Roman"/>
                <w:sz w:val="16"/>
              </w:rPr>
            </w:pPr>
          </w:p>
        </w:tc>
        <w:tc>
          <w:tcPr>
            <w:tcW w:w="907" w:type="dxa"/>
          </w:tcPr>
          <w:p>
            <w:pPr>
              <w:pStyle w:val="TableParagraph"/>
              <w:spacing w:line="175" w:lineRule="exact" w:before="30"/>
              <w:ind w:right="56"/>
              <w:jc w:val="right"/>
              <w:rPr>
                <w:sz w:val="16"/>
              </w:rPr>
            </w:pPr>
            <w:r>
              <w:rPr>
                <w:sz w:val="16"/>
              </w:rPr>
              <w:t>6.116,99</w:t>
            </w:r>
          </w:p>
        </w:tc>
        <w:tc>
          <w:tcPr>
            <w:tcW w:w="871" w:type="dxa"/>
          </w:tcPr>
          <w:p>
            <w:pPr>
              <w:pStyle w:val="TableParagraph"/>
              <w:spacing w:before="0"/>
              <w:rPr>
                <w:rFonts w:ascii="Times New Roman"/>
                <w:sz w:val="16"/>
              </w:rPr>
            </w:pPr>
          </w:p>
        </w:tc>
        <w:tc>
          <w:tcPr>
            <w:tcW w:w="967" w:type="dxa"/>
          </w:tcPr>
          <w:p>
            <w:pPr>
              <w:pStyle w:val="TableParagraph"/>
              <w:spacing w:line="175" w:lineRule="exact" w:before="30"/>
              <w:ind w:right="56"/>
              <w:jc w:val="right"/>
              <w:rPr>
                <w:sz w:val="16"/>
              </w:rPr>
            </w:pPr>
            <w:r>
              <w:rPr>
                <w:sz w:val="16"/>
              </w:rPr>
              <w:t>6.116,99</w:t>
            </w:r>
          </w:p>
        </w:tc>
      </w:tr>
      <w:tr>
        <w:trPr>
          <w:trHeight w:val="225" w:hRule="atLeast"/>
        </w:trPr>
        <w:tc>
          <w:tcPr>
            <w:tcW w:w="4550" w:type="dxa"/>
          </w:tcPr>
          <w:p>
            <w:pPr>
              <w:pStyle w:val="TableParagraph"/>
              <w:spacing w:line="175" w:lineRule="exact" w:before="30"/>
              <w:ind w:left="69"/>
              <w:rPr>
                <w:sz w:val="16"/>
              </w:rPr>
            </w:pPr>
            <w:r>
              <w:rPr>
                <w:sz w:val="16"/>
              </w:rPr>
              <w:t>Gastos financieros</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8" w:lineRule="exact" w:before="27"/>
              <w:ind w:left="69"/>
              <w:rPr>
                <w:sz w:val="16"/>
              </w:rPr>
            </w:pPr>
            <w:r>
              <w:rPr>
                <w:sz w:val="16"/>
              </w:rPr>
              <w:t>Variaciones de valor razonables en instrumentos financieros</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8" w:lineRule="exact" w:before="27"/>
              <w:ind w:left="69"/>
              <w:rPr>
                <w:sz w:val="16"/>
              </w:rPr>
            </w:pPr>
            <w:r>
              <w:rPr>
                <w:sz w:val="16"/>
              </w:rPr>
              <w:t>Diferencias de cambio</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8" w:lineRule="exact" w:before="27"/>
              <w:ind w:left="69"/>
              <w:rPr>
                <w:sz w:val="16"/>
              </w:rPr>
            </w:pPr>
            <w:r>
              <w:rPr>
                <w:sz w:val="16"/>
              </w:rPr>
              <w:t>Deterioro y resultado por enajenación de instrumentos financieros</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8" w:lineRule="exact" w:before="27"/>
              <w:ind w:left="69"/>
              <w:rPr>
                <w:sz w:val="16"/>
              </w:rPr>
            </w:pPr>
            <w:r>
              <w:rPr>
                <w:sz w:val="16"/>
              </w:rPr>
              <w:t>Impuestos sobre beneficios</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2" w:hRule="atLeast"/>
        </w:trPr>
        <w:tc>
          <w:tcPr>
            <w:tcW w:w="4550" w:type="dxa"/>
          </w:tcPr>
          <w:p>
            <w:pPr>
              <w:pStyle w:val="TableParagraph"/>
              <w:spacing w:line="175" w:lineRule="exact" w:before="27"/>
              <w:ind w:left="69"/>
              <w:rPr>
                <w:sz w:val="16"/>
              </w:rPr>
            </w:pPr>
            <w:r>
              <w:rPr>
                <w:sz w:val="16"/>
              </w:rPr>
              <w:t>Subtotal de gastos</w:t>
            </w:r>
          </w:p>
        </w:tc>
        <w:tc>
          <w:tcPr>
            <w:tcW w:w="871" w:type="dxa"/>
          </w:tcPr>
          <w:p>
            <w:pPr>
              <w:pStyle w:val="TableParagraph"/>
              <w:spacing w:line="175" w:lineRule="exact" w:before="27"/>
              <w:ind w:left="69"/>
              <w:rPr>
                <w:sz w:val="16"/>
              </w:rPr>
            </w:pPr>
            <w:r>
              <w:rPr>
                <w:sz w:val="16"/>
              </w:rPr>
              <w:t>343.533,23</w:t>
            </w:r>
          </w:p>
        </w:tc>
        <w:tc>
          <w:tcPr>
            <w:tcW w:w="849" w:type="dxa"/>
          </w:tcPr>
          <w:p>
            <w:pPr>
              <w:pStyle w:val="TableParagraph"/>
              <w:spacing w:line="175" w:lineRule="exact" w:before="27"/>
              <w:ind w:left="130"/>
              <w:rPr>
                <w:sz w:val="16"/>
              </w:rPr>
            </w:pPr>
            <w:r>
              <w:rPr>
                <w:sz w:val="16"/>
              </w:rPr>
              <w:t>45.833,30</w:t>
            </w:r>
          </w:p>
        </w:tc>
        <w:tc>
          <w:tcPr>
            <w:tcW w:w="907" w:type="dxa"/>
          </w:tcPr>
          <w:p>
            <w:pPr>
              <w:pStyle w:val="TableParagraph"/>
              <w:spacing w:line="175" w:lineRule="exact" w:before="27"/>
              <w:ind w:right="56"/>
              <w:jc w:val="right"/>
              <w:rPr>
                <w:sz w:val="16"/>
              </w:rPr>
            </w:pPr>
            <w:r>
              <w:rPr>
                <w:sz w:val="16"/>
              </w:rPr>
              <w:t>389.366,53</w:t>
            </w:r>
          </w:p>
        </w:tc>
        <w:tc>
          <w:tcPr>
            <w:tcW w:w="871" w:type="dxa"/>
          </w:tcPr>
          <w:p>
            <w:pPr>
              <w:pStyle w:val="TableParagraph"/>
              <w:spacing w:line="175" w:lineRule="exact" w:before="27"/>
              <w:ind w:right="56"/>
              <w:jc w:val="right"/>
              <w:rPr>
                <w:sz w:val="16"/>
              </w:rPr>
            </w:pPr>
            <w:r>
              <w:rPr>
                <w:sz w:val="16"/>
              </w:rPr>
              <w:t>23.927,06</w:t>
            </w:r>
          </w:p>
        </w:tc>
        <w:tc>
          <w:tcPr>
            <w:tcW w:w="967" w:type="dxa"/>
          </w:tcPr>
          <w:p>
            <w:pPr>
              <w:pStyle w:val="TableParagraph"/>
              <w:spacing w:line="175" w:lineRule="exact" w:before="27"/>
              <w:ind w:right="56"/>
              <w:jc w:val="right"/>
              <w:rPr>
                <w:sz w:val="16"/>
              </w:rPr>
            </w:pPr>
            <w:r>
              <w:rPr>
                <w:sz w:val="16"/>
              </w:rPr>
              <w:t>413.293,59</w:t>
            </w:r>
          </w:p>
        </w:tc>
      </w:tr>
      <w:tr>
        <w:trPr>
          <w:trHeight w:val="225" w:hRule="atLeast"/>
        </w:trPr>
        <w:tc>
          <w:tcPr>
            <w:tcW w:w="4550" w:type="dxa"/>
          </w:tcPr>
          <w:p>
            <w:pPr>
              <w:pStyle w:val="TableParagraph"/>
              <w:spacing w:line="175" w:lineRule="exact" w:before="30"/>
              <w:ind w:left="69"/>
              <w:rPr>
                <w:sz w:val="16"/>
              </w:rPr>
            </w:pPr>
            <w:r>
              <w:rPr>
                <w:sz w:val="16"/>
              </w:rPr>
              <w:t>Adquisiciones Inmovilizado (excepto Bienes Patrimonio Histórico)</w:t>
            </w:r>
          </w:p>
        </w:tc>
        <w:tc>
          <w:tcPr>
            <w:tcW w:w="871" w:type="dxa"/>
          </w:tcPr>
          <w:p>
            <w:pPr>
              <w:pStyle w:val="TableParagraph"/>
              <w:spacing w:line="175" w:lineRule="exact" w:before="30"/>
              <w:ind w:right="57"/>
              <w:jc w:val="right"/>
              <w:rPr>
                <w:sz w:val="16"/>
              </w:rPr>
            </w:pPr>
            <w:r>
              <w:rPr>
                <w:sz w:val="16"/>
              </w:rPr>
              <w:t>6.708,75</w:t>
            </w:r>
          </w:p>
        </w:tc>
        <w:tc>
          <w:tcPr>
            <w:tcW w:w="849" w:type="dxa"/>
          </w:tcPr>
          <w:p>
            <w:pPr>
              <w:pStyle w:val="TableParagraph"/>
              <w:spacing w:before="0"/>
              <w:rPr>
                <w:rFonts w:ascii="Times New Roman"/>
                <w:sz w:val="16"/>
              </w:rPr>
            </w:pPr>
          </w:p>
        </w:tc>
        <w:tc>
          <w:tcPr>
            <w:tcW w:w="907" w:type="dxa"/>
          </w:tcPr>
          <w:p>
            <w:pPr>
              <w:pStyle w:val="TableParagraph"/>
              <w:spacing w:line="175" w:lineRule="exact" w:before="30"/>
              <w:ind w:right="56"/>
              <w:jc w:val="right"/>
              <w:rPr>
                <w:sz w:val="16"/>
              </w:rPr>
            </w:pPr>
            <w:r>
              <w:rPr>
                <w:sz w:val="16"/>
              </w:rPr>
              <w:t>6.708,75</w:t>
            </w:r>
          </w:p>
        </w:tc>
        <w:tc>
          <w:tcPr>
            <w:tcW w:w="871" w:type="dxa"/>
          </w:tcPr>
          <w:p>
            <w:pPr>
              <w:pStyle w:val="TableParagraph"/>
              <w:spacing w:before="0"/>
              <w:rPr>
                <w:rFonts w:ascii="Times New Roman"/>
                <w:sz w:val="16"/>
              </w:rPr>
            </w:pPr>
          </w:p>
        </w:tc>
        <w:tc>
          <w:tcPr>
            <w:tcW w:w="967" w:type="dxa"/>
          </w:tcPr>
          <w:p>
            <w:pPr>
              <w:pStyle w:val="TableParagraph"/>
              <w:spacing w:line="175" w:lineRule="exact" w:before="30"/>
              <w:ind w:right="56"/>
              <w:jc w:val="right"/>
              <w:rPr>
                <w:sz w:val="16"/>
              </w:rPr>
            </w:pPr>
            <w:r>
              <w:rPr>
                <w:sz w:val="16"/>
              </w:rPr>
              <w:t>6.708,75</w:t>
            </w:r>
          </w:p>
        </w:tc>
      </w:tr>
      <w:tr>
        <w:trPr>
          <w:trHeight w:val="225" w:hRule="atLeast"/>
        </w:trPr>
        <w:tc>
          <w:tcPr>
            <w:tcW w:w="4550" w:type="dxa"/>
          </w:tcPr>
          <w:p>
            <w:pPr>
              <w:pStyle w:val="TableParagraph"/>
              <w:spacing w:line="175" w:lineRule="exact" w:before="30"/>
              <w:ind w:left="69"/>
              <w:rPr>
                <w:sz w:val="16"/>
              </w:rPr>
            </w:pPr>
            <w:r>
              <w:rPr>
                <w:sz w:val="16"/>
              </w:rPr>
              <w:t>Adquisiciones Bienes Patrimonio Histórico</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5" w:lineRule="exact" w:before="30"/>
              <w:ind w:left="69"/>
              <w:rPr>
                <w:sz w:val="16"/>
              </w:rPr>
            </w:pPr>
            <w:r>
              <w:rPr>
                <w:sz w:val="16"/>
              </w:rPr>
              <w:t>Subtotal inversiones</w:t>
            </w:r>
          </w:p>
        </w:tc>
        <w:tc>
          <w:tcPr>
            <w:tcW w:w="871" w:type="dxa"/>
          </w:tcPr>
          <w:p>
            <w:pPr>
              <w:pStyle w:val="TableParagraph"/>
              <w:spacing w:line="175" w:lineRule="exact" w:before="30"/>
              <w:ind w:right="57"/>
              <w:jc w:val="right"/>
              <w:rPr>
                <w:sz w:val="16"/>
              </w:rPr>
            </w:pPr>
            <w:r>
              <w:rPr>
                <w:sz w:val="16"/>
              </w:rPr>
              <w:t>6.708,75</w:t>
            </w:r>
          </w:p>
        </w:tc>
        <w:tc>
          <w:tcPr>
            <w:tcW w:w="849" w:type="dxa"/>
          </w:tcPr>
          <w:p>
            <w:pPr>
              <w:pStyle w:val="TableParagraph"/>
              <w:spacing w:before="0"/>
              <w:rPr>
                <w:rFonts w:ascii="Times New Roman"/>
                <w:sz w:val="16"/>
              </w:rPr>
            </w:pPr>
          </w:p>
        </w:tc>
        <w:tc>
          <w:tcPr>
            <w:tcW w:w="907" w:type="dxa"/>
          </w:tcPr>
          <w:p>
            <w:pPr>
              <w:pStyle w:val="TableParagraph"/>
              <w:spacing w:line="175" w:lineRule="exact" w:before="30"/>
              <w:ind w:right="56"/>
              <w:jc w:val="right"/>
              <w:rPr>
                <w:sz w:val="16"/>
              </w:rPr>
            </w:pPr>
            <w:r>
              <w:rPr>
                <w:sz w:val="16"/>
              </w:rPr>
              <w:t>6.708,75</w:t>
            </w:r>
          </w:p>
        </w:tc>
        <w:tc>
          <w:tcPr>
            <w:tcW w:w="871" w:type="dxa"/>
          </w:tcPr>
          <w:p>
            <w:pPr>
              <w:pStyle w:val="TableParagraph"/>
              <w:spacing w:before="0"/>
              <w:rPr>
                <w:rFonts w:ascii="Times New Roman"/>
                <w:sz w:val="16"/>
              </w:rPr>
            </w:pPr>
          </w:p>
        </w:tc>
        <w:tc>
          <w:tcPr>
            <w:tcW w:w="967" w:type="dxa"/>
          </w:tcPr>
          <w:p>
            <w:pPr>
              <w:pStyle w:val="TableParagraph"/>
              <w:spacing w:line="175" w:lineRule="exact" w:before="30"/>
              <w:ind w:right="56"/>
              <w:jc w:val="right"/>
              <w:rPr>
                <w:sz w:val="16"/>
              </w:rPr>
            </w:pPr>
            <w:r>
              <w:rPr>
                <w:sz w:val="16"/>
              </w:rPr>
              <w:t>6.708,75</w:t>
            </w:r>
          </w:p>
        </w:tc>
      </w:tr>
      <w:tr>
        <w:trPr>
          <w:trHeight w:val="225" w:hRule="atLeast"/>
        </w:trPr>
        <w:tc>
          <w:tcPr>
            <w:tcW w:w="4550" w:type="dxa"/>
          </w:tcPr>
          <w:p>
            <w:pPr>
              <w:pStyle w:val="TableParagraph"/>
              <w:spacing w:line="175" w:lineRule="exact" w:before="30"/>
              <w:ind w:left="69"/>
              <w:rPr>
                <w:sz w:val="16"/>
              </w:rPr>
            </w:pPr>
            <w:r>
              <w:rPr>
                <w:sz w:val="16"/>
              </w:rPr>
              <w:t>TOTAL</w:t>
            </w:r>
          </w:p>
        </w:tc>
        <w:tc>
          <w:tcPr>
            <w:tcW w:w="871" w:type="dxa"/>
          </w:tcPr>
          <w:p>
            <w:pPr>
              <w:pStyle w:val="TableParagraph"/>
              <w:spacing w:line="175" w:lineRule="exact" w:before="30"/>
              <w:ind w:left="69"/>
              <w:rPr>
                <w:sz w:val="16"/>
              </w:rPr>
            </w:pPr>
            <w:r>
              <w:rPr>
                <w:sz w:val="16"/>
              </w:rPr>
              <w:t>350.241,98</w:t>
            </w:r>
          </w:p>
        </w:tc>
        <w:tc>
          <w:tcPr>
            <w:tcW w:w="849" w:type="dxa"/>
          </w:tcPr>
          <w:p>
            <w:pPr>
              <w:pStyle w:val="TableParagraph"/>
              <w:spacing w:line="175" w:lineRule="exact" w:before="30"/>
              <w:ind w:left="130"/>
              <w:rPr>
                <w:sz w:val="16"/>
              </w:rPr>
            </w:pPr>
            <w:r>
              <w:rPr>
                <w:sz w:val="16"/>
              </w:rPr>
              <w:t>45.833,30</w:t>
            </w:r>
          </w:p>
        </w:tc>
        <w:tc>
          <w:tcPr>
            <w:tcW w:w="907" w:type="dxa"/>
          </w:tcPr>
          <w:p>
            <w:pPr>
              <w:pStyle w:val="TableParagraph"/>
              <w:spacing w:line="175" w:lineRule="exact" w:before="30"/>
              <w:ind w:right="56"/>
              <w:jc w:val="right"/>
              <w:rPr>
                <w:sz w:val="16"/>
              </w:rPr>
            </w:pPr>
            <w:r>
              <w:rPr>
                <w:sz w:val="16"/>
              </w:rPr>
              <w:t>396.075,28</w:t>
            </w:r>
          </w:p>
        </w:tc>
        <w:tc>
          <w:tcPr>
            <w:tcW w:w="871" w:type="dxa"/>
          </w:tcPr>
          <w:p>
            <w:pPr>
              <w:pStyle w:val="TableParagraph"/>
              <w:spacing w:line="175" w:lineRule="exact" w:before="30"/>
              <w:ind w:right="56"/>
              <w:jc w:val="right"/>
              <w:rPr>
                <w:sz w:val="16"/>
              </w:rPr>
            </w:pPr>
            <w:r>
              <w:rPr>
                <w:sz w:val="16"/>
              </w:rPr>
              <w:t>23.927,06</w:t>
            </w:r>
          </w:p>
        </w:tc>
        <w:tc>
          <w:tcPr>
            <w:tcW w:w="967" w:type="dxa"/>
          </w:tcPr>
          <w:p>
            <w:pPr>
              <w:pStyle w:val="TableParagraph"/>
              <w:spacing w:line="175" w:lineRule="exact" w:before="30"/>
              <w:ind w:right="56"/>
              <w:jc w:val="right"/>
              <w:rPr>
                <w:sz w:val="16"/>
              </w:rPr>
            </w:pPr>
            <w:r>
              <w:rPr>
                <w:sz w:val="16"/>
              </w:rPr>
              <w:t>420.002,34</w:t>
            </w:r>
          </w:p>
        </w:tc>
      </w:tr>
    </w:tbl>
    <w:p>
      <w:pPr>
        <w:pStyle w:val="BodyText"/>
        <w:rPr>
          <w:b/>
          <w:sz w:val="24"/>
        </w:rPr>
      </w:pPr>
    </w:p>
    <w:p>
      <w:pPr>
        <w:pStyle w:val="BodyText"/>
        <w:spacing w:before="12"/>
        <w:rPr>
          <w:b/>
        </w:rPr>
      </w:pPr>
    </w:p>
    <w:p>
      <w:pPr>
        <w:pStyle w:val="ListParagraph"/>
        <w:numPr>
          <w:ilvl w:val="2"/>
          <w:numId w:val="18"/>
        </w:numPr>
        <w:tabs>
          <w:tab w:pos="492" w:val="left" w:leader="none"/>
        </w:tabs>
        <w:spacing w:line="240" w:lineRule="auto" w:before="0" w:after="0"/>
        <w:ind w:left="491" w:right="0" w:hanging="371"/>
        <w:jc w:val="left"/>
        <w:rPr>
          <w:b/>
          <w:sz w:val="24"/>
        </w:rPr>
      </w:pPr>
      <w:r>
        <w:rPr>
          <w:b/>
          <w:sz w:val="24"/>
        </w:rPr>
        <w:t>Ejercicio</w:t>
      </w:r>
      <w:r>
        <w:rPr>
          <w:b/>
          <w:spacing w:val="-7"/>
          <w:sz w:val="24"/>
        </w:rPr>
        <w:t> </w:t>
      </w:r>
      <w:r>
        <w:rPr>
          <w:b/>
          <w:sz w:val="24"/>
        </w:rPr>
        <w:t>2023.</w:t>
      </w:r>
    </w:p>
    <w:p>
      <w:pPr>
        <w:spacing w:after="0" w:line="240" w:lineRule="auto"/>
        <w:jc w:val="left"/>
        <w:rPr>
          <w:sz w:val="24"/>
        </w:rPr>
        <w:sectPr>
          <w:pgSz w:w="11900" w:h="16840"/>
          <w:pgMar w:header="739" w:footer="767" w:top="1600" w:bottom="960" w:left="1580" w:right="660"/>
        </w:sectPr>
      </w:pPr>
    </w:p>
    <w:p>
      <w:pPr>
        <w:pStyle w:val="BodyText"/>
        <w:spacing w:after="1"/>
        <w:rPr>
          <w:b/>
          <w:sz w:val="23"/>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19"/>
        <w:gridCol w:w="1382"/>
        <w:gridCol w:w="1276"/>
      </w:tblGrid>
      <w:tr>
        <w:trPr>
          <w:trHeight w:val="225" w:hRule="atLeast"/>
        </w:trPr>
        <w:tc>
          <w:tcPr>
            <w:tcW w:w="5719" w:type="dxa"/>
            <w:vMerge w:val="restart"/>
          </w:tcPr>
          <w:p>
            <w:pPr>
              <w:pStyle w:val="TableParagraph"/>
              <w:spacing w:before="130"/>
              <w:ind w:left="69"/>
              <w:rPr>
                <w:sz w:val="16"/>
              </w:rPr>
            </w:pPr>
            <w:r>
              <w:rPr>
                <w:sz w:val="16"/>
              </w:rPr>
              <w:t>Gastos/inversiones</w:t>
            </w:r>
          </w:p>
        </w:tc>
        <w:tc>
          <w:tcPr>
            <w:tcW w:w="2658" w:type="dxa"/>
            <w:gridSpan w:val="2"/>
          </w:tcPr>
          <w:p>
            <w:pPr>
              <w:pStyle w:val="TableParagraph"/>
              <w:spacing w:line="178" w:lineRule="exact" w:before="27"/>
              <w:ind w:left="69"/>
              <w:rPr>
                <w:sz w:val="16"/>
              </w:rPr>
            </w:pPr>
            <w:r>
              <w:rPr>
                <w:sz w:val="16"/>
              </w:rPr>
              <w:t>Importe</w:t>
            </w:r>
          </w:p>
        </w:tc>
      </w:tr>
      <w:tr>
        <w:trPr>
          <w:trHeight w:val="225" w:hRule="atLeast"/>
        </w:trPr>
        <w:tc>
          <w:tcPr>
            <w:tcW w:w="5719" w:type="dxa"/>
            <w:vMerge/>
            <w:tcBorders>
              <w:top w:val="nil"/>
            </w:tcBorders>
          </w:tcPr>
          <w:p>
            <w:pPr>
              <w:rPr>
                <w:sz w:val="2"/>
                <w:szCs w:val="2"/>
              </w:rPr>
            </w:pPr>
          </w:p>
        </w:tc>
        <w:tc>
          <w:tcPr>
            <w:tcW w:w="1382" w:type="dxa"/>
          </w:tcPr>
          <w:p>
            <w:pPr>
              <w:pStyle w:val="TableParagraph"/>
              <w:spacing w:line="178" w:lineRule="exact" w:before="27"/>
              <w:ind w:left="69"/>
              <w:rPr>
                <w:sz w:val="16"/>
              </w:rPr>
            </w:pPr>
            <w:r>
              <w:rPr>
                <w:sz w:val="16"/>
              </w:rPr>
              <w:t>Previsto</w:t>
            </w:r>
          </w:p>
        </w:tc>
        <w:tc>
          <w:tcPr>
            <w:tcW w:w="1276" w:type="dxa"/>
          </w:tcPr>
          <w:p>
            <w:pPr>
              <w:pStyle w:val="TableParagraph"/>
              <w:spacing w:line="178" w:lineRule="exact" w:before="27"/>
              <w:ind w:left="69"/>
              <w:rPr>
                <w:sz w:val="16"/>
              </w:rPr>
            </w:pPr>
            <w:r>
              <w:rPr>
                <w:sz w:val="16"/>
              </w:rPr>
              <w:t>Realizado</w:t>
            </w:r>
          </w:p>
        </w:tc>
      </w:tr>
      <w:tr>
        <w:trPr>
          <w:trHeight w:val="299" w:hRule="atLeast"/>
        </w:trPr>
        <w:tc>
          <w:tcPr>
            <w:tcW w:w="5719" w:type="dxa"/>
          </w:tcPr>
          <w:p>
            <w:pPr>
              <w:pStyle w:val="TableParagraph"/>
              <w:spacing w:line="178" w:lineRule="exact" w:before="102"/>
              <w:ind w:left="69"/>
              <w:rPr>
                <w:sz w:val="16"/>
              </w:rPr>
            </w:pPr>
            <w:r>
              <w:rPr>
                <w:sz w:val="16"/>
              </w:rPr>
              <w:t>Gastos por ayudas y otros</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8" w:lineRule="exact" w:before="27"/>
              <w:ind w:left="69"/>
              <w:rPr>
                <w:sz w:val="16"/>
              </w:rPr>
            </w:pPr>
            <w:r>
              <w:rPr>
                <w:sz w:val="16"/>
              </w:rPr>
              <w:t>a) Ayudas monetarias</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8" w:lineRule="exact" w:before="27"/>
              <w:ind w:left="69"/>
              <w:rPr>
                <w:sz w:val="16"/>
              </w:rPr>
            </w:pPr>
            <w:r>
              <w:rPr>
                <w:sz w:val="16"/>
              </w:rPr>
              <w:t>b) Ayudas no monetarias</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2" w:hRule="atLeast"/>
        </w:trPr>
        <w:tc>
          <w:tcPr>
            <w:tcW w:w="5719" w:type="dxa"/>
          </w:tcPr>
          <w:p>
            <w:pPr>
              <w:pStyle w:val="TableParagraph"/>
              <w:spacing w:line="175" w:lineRule="exact" w:before="27"/>
              <w:ind w:left="69"/>
              <w:rPr>
                <w:sz w:val="16"/>
              </w:rPr>
            </w:pPr>
            <w:r>
              <w:rPr>
                <w:sz w:val="16"/>
              </w:rPr>
              <w:t>c) Gastos por colaboraciones y órganos de gobierno</w:t>
            </w:r>
          </w:p>
        </w:tc>
        <w:tc>
          <w:tcPr>
            <w:tcW w:w="1382" w:type="dxa"/>
          </w:tcPr>
          <w:p>
            <w:pPr>
              <w:pStyle w:val="TableParagraph"/>
              <w:spacing w:before="0"/>
              <w:rPr>
                <w:rFonts w:ascii="Times New Roman"/>
                <w:sz w:val="14"/>
              </w:rPr>
            </w:pPr>
          </w:p>
        </w:tc>
        <w:tc>
          <w:tcPr>
            <w:tcW w:w="1276" w:type="dxa"/>
          </w:tcPr>
          <w:p>
            <w:pPr>
              <w:pStyle w:val="TableParagraph"/>
              <w:spacing w:before="0"/>
              <w:rPr>
                <w:rFonts w:ascii="Times New Roman"/>
                <w:sz w:val="14"/>
              </w:rPr>
            </w:pPr>
          </w:p>
        </w:tc>
      </w:tr>
      <w:tr>
        <w:trPr>
          <w:trHeight w:val="225" w:hRule="atLeast"/>
        </w:trPr>
        <w:tc>
          <w:tcPr>
            <w:tcW w:w="5719" w:type="dxa"/>
          </w:tcPr>
          <w:p>
            <w:pPr>
              <w:pStyle w:val="TableParagraph"/>
              <w:spacing w:line="175" w:lineRule="exact" w:before="30"/>
              <w:ind w:left="69"/>
              <w:rPr>
                <w:sz w:val="16"/>
              </w:rPr>
            </w:pPr>
            <w:r>
              <w:rPr>
                <w:sz w:val="16"/>
              </w:rPr>
              <w:t>Variación de existencias de productos terminados y en curso de fabricación</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5" w:lineRule="exact" w:before="30"/>
              <w:ind w:left="69"/>
              <w:rPr>
                <w:sz w:val="16"/>
              </w:rPr>
            </w:pPr>
            <w:r>
              <w:rPr>
                <w:sz w:val="16"/>
              </w:rPr>
              <w:t>Aprovisionamientos</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5" w:lineRule="exact" w:before="30"/>
              <w:ind w:left="69"/>
              <w:rPr>
                <w:sz w:val="16"/>
              </w:rPr>
            </w:pPr>
            <w:r>
              <w:rPr>
                <w:sz w:val="16"/>
              </w:rPr>
              <w:t>Gastos de personal</w:t>
            </w:r>
          </w:p>
        </w:tc>
        <w:tc>
          <w:tcPr>
            <w:tcW w:w="1382" w:type="dxa"/>
          </w:tcPr>
          <w:p>
            <w:pPr>
              <w:pStyle w:val="TableParagraph"/>
              <w:spacing w:line="175" w:lineRule="exact" w:before="30"/>
              <w:ind w:right="54"/>
              <w:jc w:val="right"/>
              <w:rPr>
                <w:sz w:val="16"/>
              </w:rPr>
            </w:pPr>
            <w:r>
              <w:rPr>
                <w:sz w:val="16"/>
              </w:rPr>
              <w:t>300.124,21</w:t>
            </w:r>
          </w:p>
        </w:tc>
        <w:tc>
          <w:tcPr>
            <w:tcW w:w="1276" w:type="dxa"/>
          </w:tcPr>
          <w:p>
            <w:pPr>
              <w:pStyle w:val="TableParagraph"/>
              <w:spacing w:line="175" w:lineRule="exact" w:before="30"/>
              <w:ind w:right="56"/>
              <w:jc w:val="right"/>
              <w:rPr>
                <w:sz w:val="16"/>
              </w:rPr>
            </w:pPr>
            <w:r>
              <w:rPr>
                <w:sz w:val="16"/>
              </w:rPr>
              <w:t>306.708,86</w:t>
            </w:r>
          </w:p>
        </w:tc>
      </w:tr>
      <w:tr>
        <w:trPr>
          <w:trHeight w:val="225" w:hRule="atLeast"/>
        </w:trPr>
        <w:tc>
          <w:tcPr>
            <w:tcW w:w="5719" w:type="dxa"/>
          </w:tcPr>
          <w:p>
            <w:pPr>
              <w:pStyle w:val="TableParagraph"/>
              <w:spacing w:line="175" w:lineRule="exact" w:before="30"/>
              <w:ind w:left="69"/>
              <w:rPr>
                <w:sz w:val="16"/>
              </w:rPr>
            </w:pPr>
            <w:r>
              <w:rPr>
                <w:sz w:val="16"/>
              </w:rPr>
              <w:t>Otros gastos de la actividad</w:t>
            </w:r>
          </w:p>
        </w:tc>
        <w:tc>
          <w:tcPr>
            <w:tcW w:w="1382" w:type="dxa"/>
          </w:tcPr>
          <w:p>
            <w:pPr>
              <w:pStyle w:val="TableParagraph"/>
              <w:spacing w:line="175" w:lineRule="exact" w:before="30"/>
              <w:ind w:right="54"/>
              <w:jc w:val="right"/>
              <w:rPr>
                <w:sz w:val="16"/>
              </w:rPr>
            </w:pPr>
            <w:r>
              <w:rPr>
                <w:sz w:val="16"/>
              </w:rPr>
              <w:t>71.537,50</w:t>
            </w:r>
          </w:p>
        </w:tc>
        <w:tc>
          <w:tcPr>
            <w:tcW w:w="1276" w:type="dxa"/>
          </w:tcPr>
          <w:p>
            <w:pPr>
              <w:pStyle w:val="TableParagraph"/>
              <w:spacing w:line="175" w:lineRule="exact" w:before="30"/>
              <w:ind w:right="56"/>
              <w:jc w:val="right"/>
              <w:rPr>
                <w:sz w:val="16"/>
              </w:rPr>
            </w:pPr>
            <w:r>
              <w:rPr>
                <w:sz w:val="16"/>
              </w:rPr>
              <w:t>79.912,98</w:t>
            </w:r>
          </w:p>
        </w:tc>
      </w:tr>
      <w:tr>
        <w:trPr>
          <w:trHeight w:val="225" w:hRule="atLeast"/>
        </w:trPr>
        <w:tc>
          <w:tcPr>
            <w:tcW w:w="5719" w:type="dxa"/>
          </w:tcPr>
          <w:p>
            <w:pPr>
              <w:pStyle w:val="TableParagraph"/>
              <w:spacing w:line="175" w:lineRule="exact" w:before="30"/>
              <w:ind w:left="69"/>
              <w:rPr>
                <w:sz w:val="16"/>
              </w:rPr>
            </w:pPr>
            <w:r>
              <w:rPr>
                <w:sz w:val="16"/>
              </w:rPr>
              <w:t>Amortización del Inmovilizado</w:t>
            </w:r>
          </w:p>
        </w:tc>
        <w:tc>
          <w:tcPr>
            <w:tcW w:w="1382" w:type="dxa"/>
          </w:tcPr>
          <w:p>
            <w:pPr>
              <w:pStyle w:val="TableParagraph"/>
              <w:spacing w:before="0"/>
              <w:rPr>
                <w:rFonts w:ascii="Times New Roman"/>
                <w:sz w:val="16"/>
              </w:rPr>
            </w:pPr>
          </w:p>
        </w:tc>
        <w:tc>
          <w:tcPr>
            <w:tcW w:w="1276" w:type="dxa"/>
          </w:tcPr>
          <w:p>
            <w:pPr>
              <w:pStyle w:val="TableParagraph"/>
              <w:spacing w:line="175" w:lineRule="exact" w:before="30"/>
              <w:ind w:right="56"/>
              <w:jc w:val="right"/>
              <w:rPr>
                <w:sz w:val="16"/>
              </w:rPr>
            </w:pPr>
            <w:r>
              <w:rPr>
                <w:sz w:val="16"/>
              </w:rPr>
              <w:t>5.632,48</w:t>
            </w:r>
          </w:p>
        </w:tc>
      </w:tr>
      <w:tr>
        <w:trPr>
          <w:trHeight w:val="225" w:hRule="atLeast"/>
        </w:trPr>
        <w:tc>
          <w:tcPr>
            <w:tcW w:w="5719" w:type="dxa"/>
          </w:tcPr>
          <w:p>
            <w:pPr>
              <w:pStyle w:val="TableParagraph"/>
              <w:spacing w:line="175" w:lineRule="exact" w:before="30"/>
              <w:ind w:left="69"/>
              <w:rPr>
                <w:sz w:val="16"/>
              </w:rPr>
            </w:pPr>
            <w:r>
              <w:rPr>
                <w:sz w:val="16"/>
              </w:rPr>
              <w:t>Deterioro y resultado por enajenación de inmovilizado</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8" w:lineRule="exact" w:before="27"/>
              <w:ind w:left="69"/>
              <w:rPr>
                <w:sz w:val="16"/>
              </w:rPr>
            </w:pPr>
            <w:r>
              <w:rPr>
                <w:sz w:val="16"/>
              </w:rPr>
              <w:t>Gastos financieros</w:t>
            </w:r>
          </w:p>
        </w:tc>
        <w:tc>
          <w:tcPr>
            <w:tcW w:w="1382" w:type="dxa"/>
          </w:tcPr>
          <w:p>
            <w:pPr>
              <w:pStyle w:val="TableParagraph"/>
              <w:spacing w:line="178" w:lineRule="exact" w:before="27"/>
              <w:ind w:right="54"/>
              <w:jc w:val="right"/>
              <w:rPr>
                <w:sz w:val="16"/>
              </w:rPr>
            </w:pPr>
            <w:r>
              <w:rPr>
                <w:sz w:val="16"/>
              </w:rPr>
              <w:t>2.250,00</w:t>
            </w: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8" w:lineRule="exact" w:before="27"/>
              <w:ind w:left="69"/>
              <w:rPr>
                <w:sz w:val="16"/>
              </w:rPr>
            </w:pPr>
            <w:r>
              <w:rPr>
                <w:sz w:val="16"/>
              </w:rPr>
              <w:t>Variaciones de valor razonable en instrumentos financieros</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8" w:lineRule="exact" w:before="27"/>
              <w:ind w:left="69"/>
              <w:rPr>
                <w:sz w:val="16"/>
              </w:rPr>
            </w:pPr>
            <w:r>
              <w:rPr>
                <w:sz w:val="16"/>
              </w:rPr>
              <w:t>Diferencias de cambio</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8" w:lineRule="exact" w:before="27"/>
              <w:ind w:left="69"/>
              <w:rPr>
                <w:sz w:val="16"/>
              </w:rPr>
            </w:pPr>
            <w:r>
              <w:rPr>
                <w:sz w:val="16"/>
              </w:rPr>
              <w:t>Deterioro y resultado por enajenación de instrumentos financieros</w:t>
            </w:r>
          </w:p>
        </w:tc>
        <w:tc>
          <w:tcPr>
            <w:tcW w:w="1382" w:type="dxa"/>
          </w:tcPr>
          <w:p>
            <w:pPr>
              <w:pStyle w:val="TableParagraph"/>
              <w:spacing w:before="0"/>
              <w:rPr>
                <w:rFonts w:ascii="Times New Roman"/>
                <w:sz w:val="16"/>
              </w:rPr>
            </w:pPr>
          </w:p>
        </w:tc>
        <w:tc>
          <w:tcPr>
            <w:tcW w:w="1276" w:type="dxa"/>
          </w:tcPr>
          <w:p>
            <w:pPr>
              <w:pStyle w:val="TableParagraph"/>
              <w:spacing w:line="178" w:lineRule="exact" w:before="27"/>
              <w:ind w:right="56"/>
              <w:jc w:val="right"/>
              <w:rPr>
                <w:sz w:val="16"/>
              </w:rPr>
            </w:pPr>
            <w:r>
              <w:rPr>
                <w:sz w:val="16"/>
              </w:rPr>
              <w:t>111,00</w:t>
            </w:r>
          </w:p>
        </w:tc>
      </w:tr>
      <w:tr>
        <w:trPr>
          <w:trHeight w:val="225" w:hRule="atLeast"/>
        </w:trPr>
        <w:tc>
          <w:tcPr>
            <w:tcW w:w="5719" w:type="dxa"/>
          </w:tcPr>
          <w:p>
            <w:pPr>
              <w:pStyle w:val="TableParagraph"/>
              <w:spacing w:line="178" w:lineRule="exact" w:before="27"/>
              <w:ind w:left="69"/>
              <w:rPr>
                <w:sz w:val="16"/>
              </w:rPr>
            </w:pPr>
            <w:r>
              <w:rPr>
                <w:sz w:val="16"/>
              </w:rPr>
              <w:t>Impuestos sobre beneficios</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2" w:hRule="atLeast"/>
        </w:trPr>
        <w:tc>
          <w:tcPr>
            <w:tcW w:w="5719" w:type="dxa"/>
          </w:tcPr>
          <w:p>
            <w:pPr>
              <w:pStyle w:val="TableParagraph"/>
              <w:spacing w:line="175" w:lineRule="exact" w:before="27"/>
              <w:ind w:left="69"/>
              <w:rPr>
                <w:sz w:val="16"/>
              </w:rPr>
            </w:pPr>
            <w:r>
              <w:rPr>
                <w:sz w:val="16"/>
              </w:rPr>
              <w:t>Subtotal de gastos</w:t>
            </w:r>
          </w:p>
        </w:tc>
        <w:tc>
          <w:tcPr>
            <w:tcW w:w="1382" w:type="dxa"/>
          </w:tcPr>
          <w:p>
            <w:pPr>
              <w:pStyle w:val="TableParagraph"/>
              <w:spacing w:line="175" w:lineRule="exact" w:before="27"/>
              <w:ind w:right="54"/>
              <w:jc w:val="right"/>
              <w:rPr>
                <w:sz w:val="16"/>
              </w:rPr>
            </w:pPr>
            <w:r>
              <w:rPr>
                <w:sz w:val="16"/>
              </w:rPr>
              <w:t>374.161,71</w:t>
            </w:r>
          </w:p>
        </w:tc>
        <w:tc>
          <w:tcPr>
            <w:tcW w:w="1276" w:type="dxa"/>
          </w:tcPr>
          <w:p>
            <w:pPr>
              <w:pStyle w:val="TableParagraph"/>
              <w:spacing w:line="175" w:lineRule="exact" w:before="27"/>
              <w:ind w:right="56"/>
              <w:jc w:val="right"/>
              <w:rPr>
                <w:sz w:val="16"/>
              </w:rPr>
            </w:pPr>
            <w:r>
              <w:rPr>
                <w:sz w:val="16"/>
              </w:rPr>
              <w:t>392.365,32</w:t>
            </w:r>
          </w:p>
        </w:tc>
      </w:tr>
      <w:tr>
        <w:trPr>
          <w:trHeight w:val="225" w:hRule="atLeast"/>
        </w:trPr>
        <w:tc>
          <w:tcPr>
            <w:tcW w:w="5719" w:type="dxa"/>
          </w:tcPr>
          <w:p>
            <w:pPr>
              <w:pStyle w:val="TableParagraph"/>
              <w:spacing w:line="175" w:lineRule="exact" w:before="30"/>
              <w:ind w:left="69"/>
              <w:rPr>
                <w:sz w:val="16"/>
              </w:rPr>
            </w:pPr>
            <w:r>
              <w:rPr>
                <w:sz w:val="16"/>
              </w:rPr>
              <w:t>Adquisiciones del Inmovilizado (excepto Bienes Patrimonio Histórico)</w:t>
            </w:r>
          </w:p>
        </w:tc>
        <w:tc>
          <w:tcPr>
            <w:tcW w:w="1382" w:type="dxa"/>
          </w:tcPr>
          <w:p>
            <w:pPr>
              <w:pStyle w:val="TableParagraph"/>
              <w:spacing w:before="0"/>
              <w:rPr>
                <w:rFonts w:ascii="Times New Roman"/>
                <w:sz w:val="16"/>
              </w:rPr>
            </w:pPr>
          </w:p>
        </w:tc>
        <w:tc>
          <w:tcPr>
            <w:tcW w:w="1276" w:type="dxa"/>
          </w:tcPr>
          <w:p>
            <w:pPr>
              <w:pStyle w:val="TableParagraph"/>
              <w:spacing w:line="175" w:lineRule="exact" w:before="30"/>
              <w:ind w:right="56"/>
              <w:jc w:val="right"/>
              <w:rPr>
                <w:sz w:val="16"/>
              </w:rPr>
            </w:pPr>
            <w:r>
              <w:rPr>
                <w:sz w:val="16"/>
              </w:rPr>
              <w:t>4.041,40</w:t>
            </w:r>
          </w:p>
        </w:tc>
      </w:tr>
      <w:tr>
        <w:trPr>
          <w:trHeight w:val="225" w:hRule="atLeast"/>
        </w:trPr>
        <w:tc>
          <w:tcPr>
            <w:tcW w:w="5719" w:type="dxa"/>
          </w:tcPr>
          <w:p>
            <w:pPr>
              <w:pStyle w:val="TableParagraph"/>
              <w:spacing w:line="175" w:lineRule="exact" w:before="30"/>
              <w:ind w:left="69"/>
              <w:rPr>
                <w:sz w:val="16"/>
              </w:rPr>
            </w:pPr>
            <w:r>
              <w:rPr>
                <w:sz w:val="16"/>
              </w:rPr>
              <w:t>Adquisiciones Bienes Patrimonio Histórico</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5" w:lineRule="exact" w:before="30"/>
              <w:ind w:left="69"/>
              <w:rPr>
                <w:sz w:val="16"/>
              </w:rPr>
            </w:pPr>
            <w:r>
              <w:rPr>
                <w:sz w:val="16"/>
              </w:rPr>
              <w:t>Subtotal recursos</w:t>
            </w:r>
          </w:p>
        </w:tc>
        <w:tc>
          <w:tcPr>
            <w:tcW w:w="1382" w:type="dxa"/>
          </w:tcPr>
          <w:p>
            <w:pPr>
              <w:pStyle w:val="TableParagraph"/>
              <w:spacing w:before="0"/>
              <w:rPr>
                <w:rFonts w:ascii="Times New Roman"/>
                <w:sz w:val="16"/>
              </w:rPr>
            </w:pPr>
          </w:p>
        </w:tc>
        <w:tc>
          <w:tcPr>
            <w:tcW w:w="1276" w:type="dxa"/>
          </w:tcPr>
          <w:p>
            <w:pPr>
              <w:pStyle w:val="TableParagraph"/>
              <w:spacing w:before="0"/>
              <w:rPr>
                <w:rFonts w:ascii="Times New Roman"/>
                <w:sz w:val="16"/>
              </w:rPr>
            </w:pPr>
          </w:p>
        </w:tc>
      </w:tr>
      <w:tr>
        <w:trPr>
          <w:trHeight w:val="225" w:hRule="atLeast"/>
        </w:trPr>
        <w:tc>
          <w:tcPr>
            <w:tcW w:w="5719" w:type="dxa"/>
          </w:tcPr>
          <w:p>
            <w:pPr>
              <w:pStyle w:val="TableParagraph"/>
              <w:spacing w:line="175" w:lineRule="exact" w:before="30"/>
              <w:ind w:left="69"/>
              <w:rPr>
                <w:sz w:val="16"/>
              </w:rPr>
            </w:pPr>
            <w:r>
              <w:rPr>
                <w:sz w:val="16"/>
              </w:rPr>
              <w:t>TOTAL</w:t>
            </w:r>
          </w:p>
        </w:tc>
        <w:tc>
          <w:tcPr>
            <w:tcW w:w="1382" w:type="dxa"/>
          </w:tcPr>
          <w:p>
            <w:pPr>
              <w:pStyle w:val="TableParagraph"/>
              <w:spacing w:line="175" w:lineRule="exact" w:before="30"/>
              <w:ind w:right="54"/>
              <w:jc w:val="right"/>
              <w:rPr>
                <w:sz w:val="16"/>
              </w:rPr>
            </w:pPr>
            <w:r>
              <w:rPr>
                <w:sz w:val="16"/>
              </w:rPr>
              <w:t>374.161,71</w:t>
            </w:r>
          </w:p>
        </w:tc>
        <w:tc>
          <w:tcPr>
            <w:tcW w:w="1276" w:type="dxa"/>
          </w:tcPr>
          <w:p>
            <w:pPr>
              <w:pStyle w:val="TableParagraph"/>
              <w:spacing w:line="175" w:lineRule="exact" w:before="30"/>
              <w:ind w:right="56"/>
              <w:jc w:val="right"/>
              <w:rPr>
                <w:sz w:val="16"/>
              </w:rPr>
            </w:pPr>
            <w:r>
              <w:rPr>
                <w:sz w:val="16"/>
              </w:rPr>
              <w:t>396.406,72</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7"/>
        </w:rPr>
      </w:pPr>
    </w:p>
    <w:p>
      <w:pPr>
        <w:pStyle w:val="ListParagraph"/>
        <w:numPr>
          <w:ilvl w:val="2"/>
          <w:numId w:val="18"/>
        </w:numPr>
        <w:tabs>
          <w:tab w:pos="492" w:val="left" w:leader="none"/>
        </w:tabs>
        <w:spacing w:line="240" w:lineRule="auto" w:before="51" w:after="0"/>
        <w:ind w:left="491" w:right="0" w:hanging="371"/>
        <w:jc w:val="left"/>
        <w:rPr>
          <w:b/>
          <w:sz w:val="24"/>
        </w:rPr>
      </w:pPr>
      <w:r>
        <w:rPr>
          <w:b/>
          <w:sz w:val="24"/>
        </w:rPr>
        <w:t>Ejercicio</w:t>
      </w:r>
      <w:r>
        <w:rPr>
          <w:b/>
          <w:spacing w:val="-2"/>
          <w:sz w:val="24"/>
        </w:rPr>
        <w:t> </w:t>
      </w:r>
      <w:r>
        <w:rPr>
          <w:b/>
          <w:sz w:val="24"/>
        </w:rPr>
        <w:t>2023.</w:t>
      </w:r>
    </w:p>
    <w:p>
      <w:pPr>
        <w:pStyle w:val="BodyText"/>
        <w:spacing w:before="1"/>
        <w:rPr>
          <w:b/>
          <w:sz w:val="2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50"/>
        <w:gridCol w:w="871"/>
        <w:gridCol w:w="849"/>
        <w:gridCol w:w="907"/>
        <w:gridCol w:w="871"/>
        <w:gridCol w:w="967"/>
      </w:tblGrid>
      <w:tr>
        <w:trPr>
          <w:trHeight w:val="585" w:hRule="atLeast"/>
        </w:trPr>
        <w:tc>
          <w:tcPr>
            <w:tcW w:w="4550" w:type="dxa"/>
          </w:tcPr>
          <w:p>
            <w:pPr>
              <w:pStyle w:val="TableParagraph"/>
              <w:spacing w:before="0"/>
              <w:rPr>
                <w:b/>
                <w:sz w:val="16"/>
              </w:rPr>
            </w:pPr>
          </w:p>
          <w:p>
            <w:pPr>
              <w:pStyle w:val="TableParagraph"/>
              <w:spacing w:before="0"/>
              <w:ind w:left="69"/>
              <w:rPr>
                <w:sz w:val="16"/>
              </w:rPr>
            </w:pPr>
            <w:r>
              <w:rPr>
                <w:sz w:val="16"/>
              </w:rPr>
              <w:t>Gastos/inversiones</w:t>
            </w:r>
          </w:p>
        </w:tc>
        <w:tc>
          <w:tcPr>
            <w:tcW w:w="871" w:type="dxa"/>
          </w:tcPr>
          <w:p>
            <w:pPr>
              <w:pStyle w:val="TableParagraph"/>
              <w:spacing w:before="0"/>
              <w:rPr>
                <w:b/>
                <w:sz w:val="16"/>
              </w:rPr>
            </w:pPr>
          </w:p>
          <w:p>
            <w:pPr>
              <w:pStyle w:val="TableParagraph"/>
              <w:spacing w:before="11"/>
              <w:rPr>
                <w:b/>
                <w:sz w:val="15"/>
              </w:rPr>
            </w:pPr>
          </w:p>
          <w:p>
            <w:pPr>
              <w:pStyle w:val="TableParagraph"/>
              <w:spacing w:line="175" w:lineRule="exact" w:before="0"/>
              <w:ind w:left="69"/>
              <w:rPr>
                <w:sz w:val="16"/>
              </w:rPr>
            </w:pPr>
            <w:r>
              <w:rPr>
                <w:sz w:val="16"/>
              </w:rPr>
              <w:t>Música</w:t>
            </w:r>
          </w:p>
        </w:tc>
        <w:tc>
          <w:tcPr>
            <w:tcW w:w="849" w:type="dxa"/>
          </w:tcPr>
          <w:p>
            <w:pPr>
              <w:pStyle w:val="TableParagraph"/>
              <w:spacing w:before="0"/>
              <w:rPr>
                <w:b/>
                <w:sz w:val="16"/>
              </w:rPr>
            </w:pPr>
          </w:p>
          <w:p>
            <w:pPr>
              <w:pStyle w:val="TableParagraph"/>
              <w:spacing w:before="11"/>
              <w:rPr>
                <w:b/>
                <w:sz w:val="15"/>
              </w:rPr>
            </w:pPr>
          </w:p>
          <w:p>
            <w:pPr>
              <w:pStyle w:val="TableParagraph"/>
              <w:spacing w:line="175" w:lineRule="exact" w:before="0"/>
              <w:ind w:left="67"/>
              <w:rPr>
                <w:sz w:val="16"/>
              </w:rPr>
            </w:pPr>
            <w:r>
              <w:rPr>
                <w:sz w:val="16"/>
              </w:rPr>
              <w:t>Biblioteca</w:t>
            </w:r>
          </w:p>
        </w:tc>
        <w:tc>
          <w:tcPr>
            <w:tcW w:w="907" w:type="dxa"/>
          </w:tcPr>
          <w:p>
            <w:pPr>
              <w:pStyle w:val="TableParagraph"/>
              <w:spacing w:before="9"/>
              <w:rPr>
                <w:b/>
                <w:sz w:val="15"/>
              </w:rPr>
            </w:pPr>
          </w:p>
          <w:p>
            <w:pPr>
              <w:pStyle w:val="TableParagraph"/>
              <w:spacing w:line="194" w:lineRule="exact" w:before="0"/>
              <w:ind w:left="87" w:right="59" w:firstLine="201"/>
              <w:rPr>
                <w:sz w:val="16"/>
              </w:rPr>
            </w:pPr>
            <w:r>
              <w:rPr>
                <w:sz w:val="16"/>
              </w:rPr>
              <w:t>Total actividades</w:t>
            </w:r>
          </w:p>
        </w:tc>
        <w:tc>
          <w:tcPr>
            <w:tcW w:w="871" w:type="dxa"/>
          </w:tcPr>
          <w:p>
            <w:pPr>
              <w:pStyle w:val="TableParagraph"/>
              <w:spacing w:before="0"/>
              <w:ind w:left="118" w:right="108" w:hanging="3"/>
              <w:jc w:val="center"/>
              <w:rPr>
                <w:sz w:val="16"/>
              </w:rPr>
            </w:pPr>
            <w:r>
              <w:rPr>
                <w:sz w:val="16"/>
              </w:rPr>
              <w:t>No  imputado</w:t>
            </w:r>
          </w:p>
          <w:p>
            <w:pPr>
              <w:pStyle w:val="TableParagraph"/>
              <w:spacing w:line="175" w:lineRule="exact" w:before="0"/>
              <w:ind w:left="46" w:right="43"/>
              <w:jc w:val="center"/>
              <w:rPr>
                <w:sz w:val="16"/>
              </w:rPr>
            </w:pPr>
            <w:r>
              <w:rPr>
                <w:sz w:val="16"/>
              </w:rPr>
              <w:t>actividades</w:t>
            </w:r>
          </w:p>
        </w:tc>
        <w:tc>
          <w:tcPr>
            <w:tcW w:w="967" w:type="dxa"/>
          </w:tcPr>
          <w:p>
            <w:pPr>
              <w:pStyle w:val="TableParagraph"/>
              <w:spacing w:before="0"/>
              <w:rPr>
                <w:b/>
                <w:sz w:val="16"/>
              </w:rPr>
            </w:pPr>
          </w:p>
          <w:p>
            <w:pPr>
              <w:pStyle w:val="TableParagraph"/>
              <w:spacing w:before="11"/>
              <w:rPr>
                <w:b/>
                <w:sz w:val="15"/>
              </w:rPr>
            </w:pPr>
          </w:p>
          <w:p>
            <w:pPr>
              <w:pStyle w:val="TableParagraph"/>
              <w:spacing w:line="175" w:lineRule="exact" w:before="0"/>
              <w:ind w:left="270"/>
              <w:rPr>
                <w:sz w:val="16"/>
              </w:rPr>
            </w:pPr>
            <w:r>
              <w:rPr>
                <w:sz w:val="16"/>
              </w:rPr>
              <w:t>TOTAL</w:t>
            </w:r>
          </w:p>
        </w:tc>
      </w:tr>
      <w:tr>
        <w:trPr>
          <w:trHeight w:val="242" w:hRule="atLeast"/>
        </w:trPr>
        <w:tc>
          <w:tcPr>
            <w:tcW w:w="4550" w:type="dxa"/>
          </w:tcPr>
          <w:p>
            <w:pPr>
              <w:pStyle w:val="TableParagraph"/>
              <w:spacing w:line="178" w:lineRule="exact" w:before="44"/>
              <w:ind w:left="69"/>
              <w:rPr>
                <w:sz w:val="16"/>
              </w:rPr>
            </w:pPr>
            <w:r>
              <w:rPr>
                <w:sz w:val="16"/>
              </w:rPr>
              <w:t>Gastos por ayudas y otros</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54" w:hRule="atLeast"/>
        </w:trPr>
        <w:tc>
          <w:tcPr>
            <w:tcW w:w="4550" w:type="dxa"/>
          </w:tcPr>
          <w:p>
            <w:pPr>
              <w:pStyle w:val="TableParagraph"/>
              <w:spacing w:line="175" w:lineRule="exact" w:before="58"/>
              <w:ind w:left="69"/>
              <w:rPr>
                <w:sz w:val="16"/>
              </w:rPr>
            </w:pPr>
            <w:r>
              <w:rPr>
                <w:sz w:val="16"/>
              </w:rPr>
              <w:t>a) Ayudas monetarias</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54" w:hRule="atLeast"/>
        </w:trPr>
        <w:tc>
          <w:tcPr>
            <w:tcW w:w="4550" w:type="dxa"/>
          </w:tcPr>
          <w:p>
            <w:pPr>
              <w:pStyle w:val="TableParagraph"/>
              <w:spacing w:line="175" w:lineRule="exact" w:before="58"/>
              <w:ind w:left="69"/>
              <w:rPr>
                <w:sz w:val="16"/>
              </w:rPr>
            </w:pPr>
            <w:r>
              <w:rPr>
                <w:sz w:val="16"/>
              </w:rPr>
              <w:t>b) ayudas no monetarias</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56" w:hRule="atLeast"/>
        </w:trPr>
        <w:tc>
          <w:tcPr>
            <w:tcW w:w="4550" w:type="dxa"/>
          </w:tcPr>
          <w:p>
            <w:pPr>
              <w:pStyle w:val="TableParagraph"/>
              <w:spacing w:line="178" w:lineRule="exact" w:before="58"/>
              <w:ind w:left="69"/>
              <w:rPr>
                <w:sz w:val="16"/>
              </w:rPr>
            </w:pPr>
            <w:r>
              <w:rPr>
                <w:sz w:val="16"/>
              </w:rPr>
              <w:t>c) Gastos por colaboraciones y órganos de gobierno</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8" w:lineRule="exact" w:before="27"/>
              <w:ind w:left="69"/>
              <w:rPr>
                <w:sz w:val="16"/>
              </w:rPr>
            </w:pPr>
            <w:r>
              <w:rPr>
                <w:sz w:val="16"/>
              </w:rPr>
              <w:t>Variación existencias productos terminados y en curso fabricación</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51" w:hRule="atLeast"/>
        </w:trPr>
        <w:tc>
          <w:tcPr>
            <w:tcW w:w="4550" w:type="dxa"/>
          </w:tcPr>
          <w:p>
            <w:pPr>
              <w:pStyle w:val="TableParagraph"/>
              <w:spacing w:line="175" w:lineRule="exact" w:before="56"/>
              <w:ind w:left="69"/>
              <w:rPr>
                <w:sz w:val="16"/>
              </w:rPr>
            </w:pPr>
            <w:r>
              <w:rPr>
                <w:sz w:val="16"/>
              </w:rPr>
              <w:t>Aprovisionamientos</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8" w:lineRule="exact" w:before="27"/>
              <w:ind w:left="69"/>
              <w:rPr>
                <w:sz w:val="16"/>
              </w:rPr>
            </w:pPr>
            <w:r>
              <w:rPr>
                <w:sz w:val="16"/>
              </w:rPr>
              <w:t>Gastos de personal</w:t>
            </w:r>
          </w:p>
        </w:tc>
        <w:tc>
          <w:tcPr>
            <w:tcW w:w="871" w:type="dxa"/>
          </w:tcPr>
          <w:p>
            <w:pPr>
              <w:pStyle w:val="TableParagraph"/>
              <w:spacing w:line="178" w:lineRule="exact" w:before="27"/>
              <w:ind w:left="69"/>
              <w:rPr>
                <w:sz w:val="16"/>
              </w:rPr>
            </w:pPr>
            <w:r>
              <w:rPr>
                <w:sz w:val="16"/>
              </w:rPr>
              <w:t>306.708,86</w:t>
            </w:r>
          </w:p>
        </w:tc>
        <w:tc>
          <w:tcPr>
            <w:tcW w:w="849" w:type="dxa"/>
          </w:tcPr>
          <w:p>
            <w:pPr>
              <w:pStyle w:val="TableParagraph"/>
              <w:spacing w:before="0"/>
              <w:rPr>
                <w:rFonts w:ascii="Times New Roman"/>
                <w:sz w:val="16"/>
              </w:rPr>
            </w:pPr>
          </w:p>
        </w:tc>
        <w:tc>
          <w:tcPr>
            <w:tcW w:w="907" w:type="dxa"/>
          </w:tcPr>
          <w:p>
            <w:pPr>
              <w:pStyle w:val="TableParagraph"/>
              <w:spacing w:line="178" w:lineRule="exact" w:before="27"/>
              <w:ind w:right="75"/>
              <w:jc w:val="right"/>
              <w:rPr>
                <w:sz w:val="16"/>
              </w:rPr>
            </w:pPr>
            <w:r>
              <w:rPr>
                <w:sz w:val="16"/>
              </w:rPr>
              <w:t>306.708,86</w:t>
            </w:r>
          </w:p>
        </w:tc>
        <w:tc>
          <w:tcPr>
            <w:tcW w:w="871" w:type="dxa"/>
          </w:tcPr>
          <w:p>
            <w:pPr>
              <w:pStyle w:val="TableParagraph"/>
              <w:spacing w:before="0"/>
              <w:rPr>
                <w:rFonts w:ascii="Times New Roman"/>
                <w:sz w:val="16"/>
              </w:rPr>
            </w:pPr>
          </w:p>
        </w:tc>
        <w:tc>
          <w:tcPr>
            <w:tcW w:w="967" w:type="dxa"/>
          </w:tcPr>
          <w:p>
            <w:pPr>
              <w:pStyle w:val="TableParagraph"/>
              <w:spacing w:line="178" w:lineRule="exact" w:before="27"/>
              <w:ind w:right="56"/>
              <w:jc w:val="right"/>
              <w:rPr>
                <w:sz w:val="16"/>
              </w:rPr>
            </w:pPr>
            <w:r>
              <w:rPr>
                <w:sz w:val="16"/>
              </w:rPr>
              <w:t>306.708,86</w:t>
            </w:r>
          </w:p>
        </w:tc>
      </w:tr>
      <w:tr>
        <w:trPr>
          <w:trHeight w:val="225" w:hRule="atLeast"/>
        </w:trPr>
        <w:tc>
          <w:tcPr>
            <w:tcW w:w="4550" w:type="dxa"/>
          </w:tcPr>
          <w:p>
            <w:pPr>
              <w:pStyle w:val="TableParagraph"/>
              <w:spacing w:line="178" w:lineRule="exact" w:before="27"/>
              <w:ind w:left="69"/>
              <w:rPr>
                <w:sz w:val="16"/>
              </w:rPr>
            </w:pPr>
            <w:r>
              <w:rPr>
                <w:sz w:val="16"/>
              </w:rPr>
              <w:t>Otros gastos de la actividad</w:t>
            </w:r>
          </w:p>
        </w:tc>
        <w:tc>
          <w:tcPr>
            <w:tcW w:w="871" w:type="dxa"/>
          </w:tcPr>
          <w:p>
            <w:pPr>
              <w:pStyle w:val="TableParagraph"/>
              <w:spacing w:line="178" w:lineRule="exact" w:before="27"/>
              <w:ind w:right="57"/>
              <w:jc w:val="right"/>
              <w:rPr>
                <w:sz w:val="16"/>
              </w:rPr>
            </w:pPr>
            <w:r>
              <w:rPr>
                <w:sz w:val="16"/>
              </w:rPr>
              <w:t>16.280,12</w:t>
            </w:r>
          </w:p>
        </w:tc>
        <w:tc>
          <w:tcPr>
            <w:tcW w:w="849" w:type="dxa"/>
          </w:tcPr>
          <w:p>
            <w:pPr>
              <w:pStyle w:val="TableParagraph"/>
              <w:spacing w:line="178" w:lineRule="exact" w:before="27"/>
              <w:ind w:left="130"/>
              <w:rPr>
                <w:sz w:val="16"/>
              </w:rPr>
            </w:pPr>
            <w:r>
              <w:rPr>
                <w:sz w:val="16"/>
              </w:rPr>
              <w:t>36.666,64</w:t>
            </w:r>
          </w:p>
        </w:tc>
        <w:tc>
          <w:tcPr>
            <w:tcW w:w="907" w:type="dxa"/>
          </w:tcPr>
          <w:p>
            <w:pPr>
              <w:pStyle w:val="TableParagraph"/>
              <w:spacing w:line="178" w:lineRule="exact" w:before="27"/>
              <w:ind w:right="56"/>
              <w:jc w:val="right"/>
              <w:rPr>
                <w:sz w:val="16"/>
              </w:rPr>
            </w:pPr>
            <w:r>
              <w:rPr>
                <w:sz w:val="16"/>
              </w:rPr>
              <w:t>52.946,76</w:t>
            </w:r>
          </w:p>
        </w:tc>
        <w:tc>
          <w:tcPr>
            <w:tcW w:w="871" w:type="dxa"/>
          </w:tcPr>
          <w:p>
            <w:pPr>
              <w:pStyle w:val="TableParagraph"/>
              <w:spacing w:line="178" w:lineRule="exact" w:before="27"/>
              <w:ind w:right="56"/>
              <w:jc w:val="right"/>
              <w:rPr>
                <w:sz w:val="16"/>
              </w:rPr>
            </w:pPr>
            <w:r>
              <w:rPr>
                <w:sz w:val="16"/>
              </w:rPr>
              <w:t>29.966,22</w:t>
            </w:r>
          </w:p>
        </w:tc>
        <w:tc>
          <w:tcPr>
            <w:tcW w:w="967" w:type="dxa"/>
          </w:tcPr>
          <w:p>
            <w:pPr>
              <w:pStyle w:val="TableParagraph"/>
              <w:spacing w:line="178" w:lineRule="exact" w:before="27"/>
              <w:ind w:right="56"/>
              <w:jc w:val="right"/>
              <w:rPr>
                <w:sz w:val="16"/>
              </w:rPr>
            </w:pPr>
            <w:r>
              <w:rPr>
                <w:sz w:val="16"/>
              </w:rPr>
              <w:t>79.912,92</w:t>
            </w:r>
          </w:p>
        </w:tc>
      </w:tr>
      <w:tr>
        <w:trPr>
          <w:trHeight w:val="225" w:hRule="atLeast"/>
        </w:trPr>
        <w:tc>
          <w:tcPr>
            <w:tcW w:w="4550" w:type="dxa"/>
          </w:tcPr>
          <w:p>
            <w:pPr>
              <w:pStyle w:val="TableParagraph"/>
              <w:spacing w:line="178" w:lineRule="exact" w:before="27"/>
              <w:ind w:left="69"/>
              <w:rPr>
                <w:sz w:val="16"/>
              </w:rPr>
            </w:pPr>
            <w:r>
              <w:rPr>
                <w:sz w:val="16"/>
              </w:rPr>
              <w:t>Amortización del Inmovilizado</w:t>
            </w:r>
          </w:p>
        </w:tc>
        <w:tc>
          <w:tcPr>
            <w:tcW w:w="871" w:type="dxa"/>
          </w:tcPr>
          <w:p>
            <w:pPr>
              <w:pStyle w:val="TableParagraph"/>
              <w:spacing w:line="178" w:lineRule="exact" w:before="27"/>
              <w:ind w:right="57"/>
              <w:jc w:val="right"/>
              <w:rPr>
                <w:sz w:val="16"/>
              </w:rPr>
            </w:pPr>
            <w:r>
              <w:rPr>
                <w:sz w:val="16"/>
              </w:rPr>
              <w:t>5.632,48</w:t>
            </w:r>
          </w:p>
        </w:tc>
        <w:tc>
          <w:tcPr>
            <w:tcW w:w="849" w:type="dxa"/>
          </w:tcPr>
          <w:p>
            <w:pPr>
              <w:pStyle w:val="TableParagraph"/>
              <w:spacing w:before="0"/>
              <w:rPr>
                <w:rFonts w:ascii="Times New Roman"/>
                <w:sz w:val="16"/>
              </w:rPr>
            </w:pPr>
          </w:p>
        </w:tc>
        <w:tc>
          <w:tcPr>
            <w:tcW w:w="907" w:type="dxa"/>
          </w:tcPr>
          <w:p>
            <w:pPr>
              <w:pStyle w:val="TableParagraph"/>
              <w:spacing w:line="178" w:lineRule="exact" w:before="27"/>
              <w:ind w:right="56"/>
              <w:jc w:val="right"/>
              <w:rPr>
                <w:sz w:val="16"/>
              </w:rPr>
            </w:pPr>
            <w:r>
              <w:rPr>
                <w:sz w:val="16"/>
              </w:rPr>
              <w:t>5.632,48</w:t>
            </w:r>
          </w:p>
        </w:tc>
        <w:tc>
          <w:tcPr>
            <w:tcW w:w="871" w:type="dxa"/>
          </w:tcPr>
          <w:p>
            <w:pPr>
              <w:pStyle w:val="TableParagraph"/>
              <w:spacing w:before="0"/>
              <w:rPr>
                <w:rFonts w:ascii="Times New Roman"/>
                <w:sz w:val="16"/>
              </w:rPr>
            </w:pPr>
          </w:p>
        </w:tc>
        <w:tc>
          <w:tcPr>
            <w:tcW w:w="967" w:type="dxa"/>
          </w:tcPr>
          <w:p>
            <w:pPr>
              <w:pStyle w:val="TableParagraph"/>
              <w:spacing w:line="178" w:lineRule="exact" w:before="27"/>
              <w:ind w:right="56"/>
              <w:jc w:val="right"/>
              <w:rPr>
                <w:sz w:val="16"/>
              </w:rPr>
            </w:pPr>
            <w:r>
              <w:rPr>
                <w:sz w:val="16"/>
              </w:rPr>
              <w:t>5.632,48</w:t>
            </w:r>
          </w:p>
        </w:tc>
      </w:tr>
      <w:tr>
        <w:trPr>
          <w:trHeight w:val="225" w:hRule="atLeast"/>
        </w:trPr>
        <w:tc>
          <w:tcPr>
            <w:tcW w:w="4550" w:type="dxa"/>
          </w:tcPr>
          <w:p>
            <w:pPr>
              <w:pStyle w:val="TableParagraph"/>
              <w:spacing w:line="178" w:lineRule="exact" w:before="27"/>
              <w:ind w:left="69"/>
              <w:rPr>
                <w:sz w:val="16"/>
              </w:rPr>
            </w:pPr>
            <w:r>
              <w:rPr>
                <w:sz w:val="16"/>
              </w:rPr>
              <w:t>Deterioro y resultado por enajenación de inmovilizado</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8" w:lineRule="exact" w:before="27"/>
              <w:ind w:left="69"/>
              <w:rPr>
                <w:sz w:val="16"/>
              </w:rPr>
            </w:pPr>
            <w:r>
              <w:rPr>
                <w:sz w:val="16"/>
              </w:rPr>
              <w:t>Gastos financieros</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2" w:hRule="atLeast"/>
        </w:trPr>
        <w:tc>
          <w:tcPr>
            <w:tcW w:w="4550" w:type="dxa"/>
          </w:tcPr>
          <w:p>
            <w:pPr>
              <w:pStyle w:val="TableParagraph"/>
              <w:spacing w:line="175" w:lineRule="exact" w:before="27"/>
              <w:ind w:left="69"/>
              <w:rPr>
                <w:sz w:val="16"/>
              </w:rPr>
            </w:pPr>
            <w:r>
              <w:rPr>
                <w:sz w:val="16"/>
              </w:rPr>
              <w:t>Variaciones de valor razonables en instrumentos financieros</w:t>
            </w:r>
          </w:p>
        </w:tc>
        <w:tc>
          <w:tcPr>
            <w:tcW w:w="871" w:type="dxa"/>
          </w:tcPr>
          <w:p>
            <w:pPr>
              <w:pStyle w:val="TableParagraph"/>
              <w:spacing w:line="175" w:lineRule="exact" w:before="27"/>
              <w:ind w:right="57"/>
              <w:jc w:val="right"/>
              <w:rPr>
                <w:sz w:val="16"/>
              </w:rPr>
            </w:pPr>
            <w:r>
              <w:rPr>
                <w:sz w:val="16"/>
              </w:rPr>
              <w:t>111,00</w:t>
            </w:r>
          </w:p>
        </w:tc>
        <w:tc>
          <w:tcPr>
            <w:tcW w:w="849" w:type="dxa"/>
          </w:tcPr>
          <w:p>
            <w:pPr>
              <w:pStyle w:val="TableParagraph"/>
              <w:spacing w:before="0"/>
              <w:rPr>
                <w:rFonts w:ascii="Times New Roman"/>
                <w:sz w:val="14"/>
              </w:rPr>
            </w:pPr>
          </w:p>
        </w:tc>
        <w:tc>
          <w:tcPr>
            <w:tcW w:w="907" w:type="dxa"/>
          </w:tcPr>
          <w:p>
            <w:pPr>
              <w:pStyle w:val="TableParagraph"/>
              <w:spacing w:line="175" w:lineRule="exact" w:before="27"/>
              <w:ind w:right="92"/>
              <w:jc w:val="right"/>
              <w:rPr>
                <w:sz w:val="16"/>
              </w:rPr>
            </w:pPr>
            <w:r>
              <w:rPr>
                <w:sz w:val="16"/>
              </w:rPr>
              <w:t>111,00</w:t>
            </w:r>
          </w:p>
        </w:tc>
        <w:tc>
          <w:tcPr>
            <w:tcW w:w="871" w:type="dxa"/>
          </w:tcPr>
          <w:p>
            <w:pPr>
              <w:pStyle w:val="TableParagraph"/>
              <w:spacing w:before="0"/>
              <w:rPr>
                <w:rFonts w:ascii="Times New Roman"/>
                <w:sz w:val="14"/>
              </w:rPr>
            </w:pPr>
          </w:p>
        </w:tc>
        <w:tc>
          <w:tcPr>
            <w:tcW w:w="967" w:type="dxa"/>
          </w:tcPr>
          <w:p>
            <w:pPr>
              <w:pStyle w:val="TableParagraph"/>
              <w:spacing w:line="175" w:lineRule="exact" w:before="27"/>
              <w:ind w:right="92"/>
              <w:jc w:val="right"/>
              <w:rPr>
                <w:sz w:val="16"/>
              </w:rPr>
            </w:pPr>
            <w:r>
              <w:rPr>
                <w:sz w:val="16"/>
              </w:rPr>
              <w:t>111,00</w:t>
            </w:r>
          </w:p>
        </w:tc>
      </w:tr>
      <w:tr>
        <w:trPr>
          <w:trHeight w:val="225" w:hRule="atLeast"/>
        </w:trPr>
        <w:tc>
          <w:tcPr>
            <w:tcW w:w="4550" w:type="dxa"/>
          </w:tcPr>
          <w:p>
            <w:pPr>
              <w:pStyle w:val="TableParagraph"/>
              <w:spacing w:line="175" w:lineRule="exact" w:before="30"/>
              <w:ind w:left="69"/>
              <w:rPr>
                <w:sz w:val="16"/>
              </w:rPr>
            </w:pPr>
            <w:r>
              <w:rPr>
                <w:sz w:val="16"/>
              </w:rPr>
              <w:t>Diferencias de cambio</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5" w:lineRule="exact" w:before="30"/>
              <w:ind w:left="69"/>
              <w:rPr>
                <w:sz w:val="16"/>
              </w:rPr>
            </w:pPr>
            <w:r>
              <w:rPr>
                <w:sz w:val="16"/>
              </w:rPr>
              <w:t>Deterioro y resultado por enajenación de instrumentos financieros</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5" w:lineRule="exact" w:before="30"/>
              <w:ind w:left="69"/>
              <w:rPr>
                <w:sz w:val="16"/>
              </w:rPr>
            </w:pPr>
            <w:r>
              <w:rPr>
                <w:sz w:val="16"/>
              </w:rPr>
              <w:t>Impuestos sobre beneficios</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5" w:lineRule="exact" w:before="30"/>
              <w:ind w:left="69"/>
              <w:rPr>
                <w:sz w:val="16"/>
              </w:rPr>
            </w:pPr>
            <w:r>
              <w:rPr>
                <w:sz w:val="16"/>
              </w:rPr>
              <w:t>Subtotal de gastos</w:t>
            </w:r>
          </w:p>
        </w:tc>
        <w:tc>
          <w:tcPr>
            <w:tcW w:w="871" w:type="dxa"/>
          </w:tcPr>
          <w:p>
            <w:pPr>
              <w:pStyle w:val="TableParagraph"/>
              <w:spacing w:line="175" w:lineRule="exact" w:before="30"/>
              <w:ind w:left="69"/>
              <w:rPr>
                <w:sz w:val="16"/>
              </w:rPr>
            </w:pPr>
            <w:r>
              <w:rPr>
                <w:sz w:val="16"/>
              </w:rPr>
              <w:t>328.732,46</w:t>
            </w:r>
          </w:p>
        </w:tc>
        <w:tc>
          <w:tcPr>
            <w:tcW w:w="849" w:type="dxa"/>
          </w:tcPr>
          <w:p>
            <w:pPr>
              <w:pStyle w:val="TableParagraph"/>
              <w:spacing w:line="175" w:lineRule="exact" w:before="30"/>
              <w:ind w:left="130"/>
              <w:rPr>
                <w:sz w:val="16"/>
              </w:rPr>
            </w:pPr>
            <w:r>
              <w:rPr>
                <w:sz w:val="16"/>
              </w:rPr>
              <w:t>36.666,64</w:t>
            </w:r>
          </w:p>
        </w:tc>
        <w:tc>
          <w:tcPr>
            <w:tcW w:w="907" w:type="dxa"/>
          </w:tcPr>
          <w:p>
            <w:pPr>
              <w:pStyle w:val="TableParagraph"/>
              <w:spacing w:line="175" w:lineRule="exact" w:before="30"/>
              <w:ind w:right="56"/>
              <w:jc w:val="right"/>
              <w:rPr>
                <w:sz w:val="16"/>
              </w:rPr>
            </w:pPr>
            <w:r>
              <w:rPr>
                <w:sz w:val="16"/>
              </w:rPr>
              <w:t>365.399,10</w:t>
            </w:r>
          </w:p>
        </w:tc>
        <w:tc>
          <w:tcPr>
            <w:tcW w:w="871" w:type="dxa"/>
          </w:tcPr>
          <w:p>
            <w:pPr>
              <w:pStyle w:val="TableParagraph"/>
              <w:spacing w:line="175" w:lineRule="exact" w:before="30"/>
              <w:ind w:right="56"/>
              <w:jc w:val="right"/>
              <w:rPr>
                <w:sz w:val="16"/>
              </w:rPr>
            </w:pPr>
            <w:r>
              <w:rPr>
                <w:sz w:val="16"/>
              </w:rPr>
              <w:t>26.966,22</w:t>
            </w:r>
          </w:p>
        </w:tc>
        <w:tc>
          <w:tcPr>
            <w:tcW w:w="967" w:type="dxa"/>
          </w:tcPr>
          <w:p>
            <w:pPr>
              <w:pStyle w:val="TableParagraph"/>
              <w:spacing w:line="175" w:lineRule="exact" w:before="30"/>
              <w:ind w:right="56"/>
              <w:jc w:val="right"/>
              <w:rPr>
                <w:sz w:val="16"/>
              </w:rPr>
            </w:pPr>
            <w:r>
              <w:rPr>
                <w:sz w:val="16"/>
              </w:rPr>
              <w:t>392.365,32</w:t>
            </w:r>
          </w:p>
        </w:tc>
      </w:tr>
      <w:tr>
        <w:trPr>
          <w:trHeight w:val="225" w:hRule="atLeast"/>
        </w:trPr>
        <w:tc>
          <w:tcPr>
            <w:tcW w:w="4550" w:type="dxa"/>
          </w:tcPr>
          <w:p>
            <w:pPr>
              <w:pStyle w:val="TableParagraph"/>
              <w:spacing w:line="175" w:lineRule="exact" w:before="30"/>
              <w:ind w:left="69"/>
              <w:rPr>
                <w:sz w:val="16"/>
              </w:rPr>
            </w:pPr>
            <w:r>
              <w:rPr>
                <w:sz w:val="16"/>
              </w:rPr>
              <w:t>Adquisiciones Inmovilizado (excepto Bienes Patrimonio Histórico)</w:t>
            </w:r>
          </w:p>
        </w:tc>
        <w:tc>
          <w:tcPr>
            <w:tcW w:w="871" w:type="dxa"/>
          </w:tcPr>
          <w:p>
            <w:pPr>
              <w:pStyle w:val="TableParagraph"/>
              <w:spacing w:line="175" w:lineRule="exact" w:before="30"/>
              <w:ind w:right="57"/>
              <w:jc w:val="right"/>
              <w:rPr>
                <w:sz w:val="16"/>
              </w:rPr>
            </w:pPr>
            <w:r>
              <w:rPr>
                <w:sz w:val="16"/>
              </w:rPr>
              <w:t>4.041,40</w:t>
            </w:r>
          </w:p>
        </w:tc>
        <w:tc>
          <w:tcPr>
            <w:tcW w:w="849" w:type="dxa"/>
          </w:tcPr>
          <w:p>
            <w:pPr>
              <w:pStyle w:val="TableParagraph"/>
              <w:spacing w:before="0"/>
              <w:rPr>
                <w:rFonts w:ascii="Times New Roman"/>
                <w:sz w:val="16"/>
              </w:rPr>
            </w:pPr>
          </w:p>
        </w:tc>
        <w:tc>
          <w:tcPr>
            <w:tcW w:w="907" w:type="dxa"/>
          </w:tcPr>
          <w:p>
            <w:pPr>
              <w:pStyle w:val="TableParagraph"/>
              <w:spacing w:line="175" w:lineRule="exact" w:before="30"/>
              <w:ind w:right="56"/>
              <w:jc w:val="right"/>
              <w:rPr>
                <w:sz w:val="16"/>
              </w:rPr>
            </w:pPr>
            <w:r>
              <w:rPr>
                <w:sz w:val="16"/>
              </w:rPr>
              <w:t>4.041,40</w:t>
            </w:r>
          </w:p>
        </w:tc>
        <w:tc>
          <w:tcPr>
            <w:tcW w:w="871" w:type="dxa"/>
          </w:tcPr>
          <w:p>
            <w:pPr>
              <w:pStyle w:val="TableParagraph"/>
              <w:spacing w:before="0"/>
              <w:rPr>
                <w:rFonts w:ascii="Times New Roman"/>
                <w:sz w:val="16"/>
              </w:rPr>
            </w:pPr>
          </w:p>
        </w:tc>
        <w:tc>
          <w:tcPr>
            <w:tcW w:w="967" w:type="dxa"/>
          </w:tcPr>
          <w:p>
            <w:pPr>
              <w:pStyle w:val="TableParagraph"/>
              <w:spacing w:line="175" w:lineRule="exact" w:before="30"/>
              <w:ind w:right="56"/>
              <w:jc w:val="right"/>
              <w:rPr>
                <w:sz w:val="16"/>
              </w:rPr>
            </w:pPr>
            <w:r>
              <w:rPr>
                <w:sz w:val="16"/>
              </w:rPr>
              <w:t>4.041,40</w:t>
            </w:r>
          </w:p>
        </w:tc>
      </w:tr>
      <w:tr>
        <w:trPr>
          <w:trHeight w:val="225" w:hRule="atLeast"/>
        </w:trPr>
        <w:tc>
          <w:tcPr>
            <w:tcW w:w="4550" w:type="dxa"/>
          </w:tcPr>
          <w:p>
            <w:pPr>
              <w:pStyle w:val="TableParagraph"/>
              <w:spacing w:line="175" w:lineRule="exact" w:before="30"/>
              <w:ind w:left="69"/>
              <w:rPr>
                <w:sz w:val="16"/>
              </w:rPr>
            </w:pPr>
            <w:r>
              <w:rPr>
                <w:sz w:val="16"/>
              </w:rPr>
              <w:t>Adquisiciones Bienes Patrimonio Histórico</w:t>
            </w:r>
          </w:p>
        </w:tc>
        <w:tc>
          <w:tcPr>
            <w:tcW w:w="871" w:type="dxa"/>
          </w:tcPr>
          <w:p>
            <w:pPr>
              <w:pStyle w:val="TableParagraph"/>
              <w:spacing w:before="0"/>
              <w:rPr>
                <w:rFonts w:ascii="Times New Roman"/>
                <w:sz w:val="16"/>
              </w:rPr>
            </w:pPr>
          </w:p>
        </w:tc>
        <w:tc>
          <w:tcPr>
            <w:tcW w:w="849" w:type="dxa"/>
          </w:tcPr>
          <w:p>
            <w:pPr>
              <w:pStyle w:val="TableParagraph"/>
              <w:spacing w:before="0"/>
              <w:rPr>
                <w:rFonts w:ascii="Times New Roman"/>
                <w:sz w:val="16"/>
              </w:rPr>
            </w:pPr>
          </w:p>
        </w:tc>
        <w:tc>
          <w:tcPr>
            <w:tcW w:w="907" w:type="dxa"/>
          </w:tcPr>
          <w:p>
            <w:pPr>
              <w:pStyle w:val="TableParagraph"/>
              <w:spacing w:before="0"/>
              <w:rPr>
                <w:rFonts w:ascii="Times New Roman"/>
                <w:sz w:val="16"/>
              </w:rPr>
            </w:pPr>
          </w:p>
        </w:tc>
        <w:tc>
          <w:tcPr>
            <w:tcW w:w="871" w:type="dxa"/>
          </w:tcPr>
          <w:p>
            <w:pPr>
              <w:pStyle w:val="TableParagraph"/>
              <w:spacing w:before="0"/>
              <w:rPr>
                <w:rFonts w:ascii="Times New Roman"/>
                <w:sz w:val="16"/>
              </w:rPr>
            </w:pPr>
          </w:p>
        </w:tc>
        <w:tc>
          <w:tcPr>
            <w:tcW w:w="967" w:type="dxa"/>
          </w:tcPr>
          <w:p>
            <w:pPr>
              <w:pStyle w:val="TableParagraph"/>
              <w:spacing w:before="0"/>
              <w:rPr>
                <w:rFonts w:ascii="Times New Roman"/>
                <w:sz w:val="16"/>
              </w:rPr>
            </w:pPr>
          </w:p>
        </w:tc>
      </w:tr>
      <w:tr>
        <w:trPr>
          <w:trHeight w:val="225" w:hRule="atLeast"/>
        </w:trPr>
        <w:tc>
          <w:tcPr>
            <w:tcW w:w="4550" w:type="dxa"/>
          </w:tcPr>
          <w:p>
            <w:pPr>
              <w:pStyle w:val="TableParagraph"/>
              <w:spacing w:line="178" w:lineRule="exact" w:before="27"/>
              <w:ind w:left="69"/>
              <w:rPr>
                <w:sz w:val="16"/>
              </w:rPr>
            </w:pPr>
            <w:r>
              <w:rPr>
                <w:sz w:val="16"/>
              </w:rPr>
              <w:t>Subtotal inversiones</w:t>
            </w:r>
          </w:p>
        </w:tc>
        <w:tc>
          <w:tcPr>
            <w:tcW w:w="871" w:type="dxa"/>
          </w:tcPr>
          <w:p>
            <w:pPr>
              <w:pStyle w:val="TableParagraph"/>
              <w:spacing w:line="178" w:lineRule="exact" w:before="27"/>
              <w:ind w:right="57"/>
              <w:jc w:val="right"/>
              <w:rPr>
                <w:sz w:val="16"/>
              </w:rPr>
            </w:pPr>
            <w:r>
              <w:rPr>
                <w:sz w:val="16"/>
              </w:rPr>
              <w:t>4.041,40</w:t>
            </w:r>
          </w:p>
        </w:tc>
        <w:tc>
          <w:tcPr>
            <w:tcW w:w="849" w:type="dxa"/>
          </w:tcPr>
          <w:p>
            <w:pPr>
              <w:pStyle w:val="TableParagraph"/>
              <w:spacing w:before="0"/>
              <w:rPr>
                <w:rFonts w:ascii="Times New Roman"/>
                <w:sz w:val="16"/>
              </w:rPr>
            </w:pPr>
          </w:p>
        </w:tc>
        <w:tc>
          <w:tcPr>
            <w:tcW w:w="907" w:type="dxa"/>
          </w:tcPr>
          <w:p>
            <w:pPr>
              <w:pStyle w:val="TableParagraph"/>
              <w:spacing w:line="178" w:lineRule="exact" w:before="27"/>
              <w:ind w:right="56"/>
              <w:jc w:val="right"/>
              <w:rPr>
                <w:sz w:val="16"/>
              </w:rPr>
            </w:pPr>
            <w:r>
              <w:rPr>
                <w:sz w:val="16"/>
              </w:rPr>
              <w:t>4.041,40</w:t>
            </w:r>
          </w:p>
        </w:tc>
        <w:tc>
          <w:tcPr>
            <w:tcW w:w="871" w:type="dxa"/>
          </w:tcPr>
          <w:p>
            <w:pPr>
              <w:pStyle w:val="TableParagraph"/>
              <w:spacing w:before="0"/>
              <w:rPr>
                <w:rFonts w:ascii="Times New Roman"/>
                <w:sz w:val="16"/>
              </w:rPr>
            </w:pPr>
          </w:p>
        </w:tc>
        <w:tc>
          <w:tcPr>
            <w:tcW w:w="967" w:type="dxa"/>
          </w:tcPr>
          <w:p>
            <w:pPr>
              <w:pStyle w:val="TableParagraph"/>
              <w:spacing w:line="178" w:lineRule="exact" w:before="27"/>
              <w:ind w:right="56"/>
              <w:jc w:val="right"/>
              <w:rPr>
                <w:sz w:val="16"/>
              </w:rPr>
            </w:pPr>
            <w:r>
              <w:rPr>
                <w:sz w:val="16"/>
              </w:rPr>
              <w:t>4.041,40</w:t>
            </w:r>
          </w:p>
        </w:tc>
      </w:tr>
      <w:tr>
        <w:trPr>
          <w:trHeight w:val="225" w:hRule="atLeast"/>
        </w:trPr>
        <w:tc>
          <w:tcPr>
            <w:tcW w:w="4550" w:type="dxa"/>
          </w:tcPr>
          <w:p>
            <w:pPr>
              <w:pStyle w:val="TableParagraph"/>
              <w:spacing w:line="178" w:lineRule="exact" w:before="27"/>
              <w:ind w:left="69"/>
              <w:rPr>
                <w:sz w:val="16"/>
              </w:rPr>
            </w:pPr>
            <w:r>
              <w:rPr>
                <w:sz w:val="16"/>
              </w:rPr>
              <w:t>TOTAL</w:t>
            </w:r>
          </w:p>
        </w:tc>
        <w:tc>
          <w:tcPr>
            <w:tcW w:w="871" w:type="dxa"/>
          </w:tcPr>
          <w:p>
            <w:pPr>
              <w:pStyle w:val="TableParagraph"/>
              <w:spacing w:line="178" w:lineRule="exact" w:before="27"/>
              <w:ind w:left="69"/>
              <w:rPr>
                <w:sz w:val="16"/>
              </w:rPr>
            </w:pPr>
            <w:r>
              <w:rPr>
                <w:sz w:val="16"/>
              </w:rPr>
              <w:t>332.773,86</w:t>
            </w:r>
          </w:p>
        </w:tc>
        <w:tc>
          <w:tcPr>
            <w:tcW w:w="849" w:type="dxa"/>
          </w:tcPr>
          <w:p>
            <w:pPr>
              <w:pStyle w:val="TableParagraph"/>
              <w:spacing w:line="178" w:lineRule="exact" w:before="27"/>
              <w:ind w:left="130"/>
              <w:rPr>
                <w:sz w:val="16"/>
              </w:rPr>
            </w:pPr>
            <w:r>
              <w:rPr>
                <w:sz w:val="16"/>
              </w:rPr>
              <w:t>36.666,64</w:t>
            </w:r>
          </w:p>
        </w:tc>
        <w:tc>
          <w:tcPr>
            <w:tcW w:w="907" w:type="dxa"/>
          </w:tcPr>
          <w:p>
            <w:pPr>
              <w:pStyle w:val="TableParagraph"/>
              <w:spacing w:line="178" w:lineRule="exact" w:before="27"/>
              <w:ind w:right="56"/>
              <w:jc w:val="right"/>
              <w:rPr>
                <w:sz w:val="16"/>
              </w:rPr>
            </w:pPr>
            <w:r>
              <w:rPr>
                <w:sz w:val="16"/>
              </w:rPr>
              <w:t>369.440,50</w:t>
            </w:r>
          </w:p>
        </w:tc>
        <w:tc>
          <w:tcPr>
            <w:tcW w:w="871" w:type="dxa"/>
          </w:tcPr>
          <w:p>
            <w:pPr>
              <w:pStyle w:val="TableParagraph"/>
              <w:spacing w:line="178" w:lineRule="exact" w:before="27"/>
              <w:ind w:right="56"/>
              <w:jc w:val="right"/>
              <w:rPr>
                <w:sz w:val="16"/>
              </w:rPr>
            </w:pPr>
            <w:r>
              <w:rPr>
                <w:sz w:val="16"/>
              </w:rPr>
              <w:t>26.966,22</w:t>
            </w:r>
          </w:p>
        </w:tc>
        <w:tc>
          <w:tcPr>
            <w:tcW w:w="967" w:type="dxa"/>
          </w:tcPr>
          <w:p>
            <w:pPr>
              <w:pStyle w:val="TableParagraph"/>
              <w:spacing w:line="178" w:lineRule="exact" w:before="27"/>
              <w:ind w:right="56"/>
              <w:jc w:val="right"/>
              <w:rPr>
                <w:sz w:val="16"/>
              </w:rPr>
            </w:pPr>
            <w:r>
              <w:rPr>
                <w:sz w:val="16"/>
              </w:rPr>
              <w:t>396.406,72</w:t>
            </w:r>
          </w:p>
        </w:tc>
      </w:tr>
    </w:tbl>
    <w:p>
      <w:pPr>
        <w:spacing w:after="0" w:line="178" w:lineRule="exact"/>
        <w:jc w:val="right"/>
        <w:rPr>
          <w:sz w:val="16"/>
        </w:rPr>
        <w:sectPr>
          <w:pgSz w:w="11900" w:h="16840"/>
          <w:pgMar w:header="739" w:footer="767" w:top="1600" w:bottom="960" w:left="1580" w:right="660"/>
        </w:sectPr>
      </w:pPr>
    </w:p>
    <w:p>
      <w:pPr>
        <w:pStyle w:val="BodyText"/>
        <w:spacing w:before="9"/>
        <w:rPr>
          <w:b/>
          <w:sz w:val="18"/>
        </w:rPr>
      </w:pPr>
    </w:p>
    <w:p>
      <w:pPr>
        <w:pStyle w:val="ListParagraph"/>
        <w:numPr>
          <w:ilvl w:val="0"/>
          <w:numId w:val="19"/>
        </w:numPr>
        <w:tabs>
          <w:tab w:pos="379" w:val="left" w:leader="none"/>
        </w:tabs>
        <w:spacing w:line="240" w:lineRule="auto" w:before="52" w:after="0"/>
        <w:ind w:left="378" w:right="0" w:hanging="258"/>
        <w:jc w:val="left"/>
        <w:rPr>
          <w:b/>
          <w:sz w:val="24"/>
        </w:rPr>
      </w:pPr>
      <w:r>
        <w:rPr>
          <w:b/>
          <w:sz w:val="24"/>
        </w:rPr>
        <w:t>Convenios de colaboración con otras</w:t>
      </w:r>
      <w:r>
        <w:rPr>
          <w:b/>
          <w:spacing w:val="-4"/>
          <w:sz w:val="24"/>
        </w:rPr>
        <w:t> </w:t>
      </w:r>
      <w:r>
        <w:rPr>
          <w:b/>
          <w:sz w:val="24"/>
        </w:rPr>
        <w:t>Fundaciones.</w:t>
      </w:r>
    </w:p>
    <w:p>
      <w:pPr>
        <w:pStyle w:val="BodyText"/>
        <w:spacing w:before="10"/>
        <w:rPr>
          <w:b/>
        </w:rPr>
      </w:pPr>
    </w:p>
    <w:p>
      <w:pPr>
        <w:pStyle w:val="BodyText"/>
        <w:ind w:left="121"/>
      </w:pPr>
      <w:r>
        <w:rPr/>
        <w:t>La Fundación no tiene convenios de colaboración con otras Fundaciones.</w:t>
      </w:r>
    </w:p>
    <w:p>
      <w:pPr>
        <w:pStyle w:val="BodyText"/>
        <w:spacing w:before="5"/>
      </w:pPr>
    </w:p>
    <w:p>
      <w:pPr>
        <w:pStyle w:val="Heading1"/>
        <w:numPr>
          <w:ilvl w:val="1"/>
          <w:numId w:val="19"/>
        </w:numPr>
        <w:tabs>
          <w:tab w:pos="842" w:val="left" w:leader="none"/>
        </w:tabs>
        <w:spacing w:line="240" w:lineRule="auto" w:before="0" w:after="0"/>
        <w:ind w:left="841" w:right="0" w:hanging="361"/>
        <w:jc w:val="left"/>
      </w:pPr>
      <w:r>
        <w:rPr/>
        <w:t>Aplicación de elementos patrimoniales a fines</w:t>
      </w:r>
      <w:r>
        <w:rPr>
          <w:spacing w:val="-8"/>
        </w:rPr>
        <w:t> </w:t>
      </w:r>
      <w:r>
        <w:rPr/>
        <w:t>propios.</w:t>
      </w:r>
    </w:p>
    <w:p>
      <w:pPr>
        <w:pStyle w:val="BodyText"/>
        <w:spacing w:before="3"/>
        <w:rPr>
          <w:b/>
          <w:sz w:val="22"/>
        </w:rPr>
      </w:pPr>
    </w:p>
    <w:p>
      <w:pPr>
        <w:spacing w:before="0" w:after="14"/>
        <w:ind w:left="968" w:right="0" w:firstLine="0"/>
        <w:jc w:val="left"/>
        <w:rPr>
          <w:b/>
          <w:sz w:val="18"/>
        </w:rPr>
      </w:pPr>
      <w:r>
        <w:rPr>
          <w:b/>
          <w:sz w:val="18"/>
        </w:rPr>
        <w:t>CUADRO DE CUMPLIMIENTO DEL DESTINO DE RENTAS E INGRESOS FUNCANORTE</w:t>
      </w:r>
    </w:p>
    <w:tbl>
      <w:tblPr>
        <w:tblW w:w="0" w:type="auto"/>
        <w:jc w:val="left"/>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2"/>
        <w:gridCol w:w="900"/>
        <w:gridCol w:w="905"/>
        <w:gridCol w:w="1301"/>
        <w:gridCol w:w="1119"/>
        <w:gridCol w:w="1102"/>
        <w:gridCol w:w="699"/>
      </w:tblGrid>
      <w:tr>
        <w:trPr>
          <w:trHeight w:val="1379" w:hRule="atLeast"/>
        </w:trPr>
        <w:tc>
          <w:tcPr>
            <w:tcW w:w="792" w:type="dxa"/>
            <w:vMerge w:val="restart"/>
          </w:tcPr>
          <w:p>
            <w:pPr>
              <w:pStyle w:val="TableParagraph"/>
              <w:spacing w:before="0"/>
              <w:rPr>
                <w:b/>
                <w:sz w:val="16"/>
              </w:rPr>
            </w:pPr>
          </w:p>
          <w:p>
            <w:pPr>
              <w:pStyle w:val="TableParagraph"/>
              <w:spacing w:before="0"/>
              <w:rPr>
                <w:b/>
                <w:sz w:val="16"/>
              </w:rPr>
            </w:pPr>
          </w:p>
          <w:p>
            <w:pPr>
              <w:pStyle w:val="TableParagraph"/>
              <w:spacing w:before="0"/>
              <w:rPr>
                <w:b/>
                <w:sz w:val="16"/>
              </w:rPr>
            </w:pPr>
          </w:p>
          <w:p>
            <w:pPr>
              <w:pStyle w:val="TableParagraph"/>
              <w:spacing w:before="7"/>
              <w:rPr>
                <w:b/>
                <w:sz w:val="12"/>
              </w:rPr>
            </w:pPr>
          </w:p>
          <w:p>
            <w:pPr>
              <w:pStyle w:val="TableParagraph"/>
              <w:spacing w:before="1"/>
              <w:ind w:left="69"/>
              <w:rPr>
                <w:sz w:val="16"/>
              </w:rPr>
            </w:pPr>
            <w:r>
              <w:rPr>
                <w:sz w:val="16"/>
              </w:rPr>
              <w:t>EJERCICIO</w:t>
            </w:r>
          </w:p>
        </w:tc>
        <w:tc>
          <w:tcPr>
            <w:tcW w:w="900" w:type="dxa"/>
            <w:vMerge w:val="restart"/>
          </w:tcPr>
          <w:p>
            <w:pPr>
              <w:pStyle w:val="TableParagraph"/>
              <w:spacing w:before="0"/>
              <w:rPr>
                <w:b/>
                <w:sz w:val="16"/>
              </w:rPr>
            </w:pPr>
          </w:p>
          <w:p>
            <w:pPr>
              <w:pStyle w:val="TableParagraph"/>
              <w:spacing w:before="0"/>
              <w:rPr>
                <w:b/>
                <w:sz w:val="16"/>
              </w:rPr>
            </w:pPr>
          </w:p>
          <w:p>
            <w:pPr>
              <w:pStyle w:val="TableParagraph"/>
              <w:spacing w:before="6"/>
              <w:rPr>
                <w:b/>
                <w:sz w:val="12"/>
              </w:rPr>
            </w:pPr>
          </w:p>
          <w:p>
            <w:pPr>
              <w:pStyle w:val="TableParagraph"/>
              <w:spacing w:before="0"/>
              <w:ind w:left="69" w:right="56"/>
              <w:jc w:val="center"/>
              <w:rPr>
                <w:sz w:val="16"/>
              </w:rPr>
            </w:pPr>
            <w:r>
              <w:rPr>
                <w:sz w:val="16"/>
              </w:rPr>
              <w:t>EXCEDENTE DEL EJERCICIO</w:t>
            </w:r>
          </w:p>
        </w:tc>
        <w:tc>
          <w:tcPr>
            <w:tcW w:w="905" w:type="dxa"/>
            <w:vMerge w:val="restart"/>
          </w:tcPr>
          <w:p>
            <w:pPr>
              <w:pStyle w:val="TableParagraph"/>
              <w:spacing w:before="0"/>
              <w:rPr>
                <w:b/>
                <w:sz w:val="16"/>
              </w:rPr>
            </w:pPr>
          </w:p>
          <w:p>
            <w:pPr>
              <w:pStyle w:val="TableParagraph"/>
              <w:spacing w:before="0"/>
              <w:rPr>
                <w:b/>
                <w:sz w:val="16"/>
              </w:rPr>
            </w:pPr>
          </w:p>
          <w:p>
            <w:pPr>
              <w:pStyle w:val="TableParagraph"/>
              <w:spacing w:before="7"/>
              <w:rPr>
                <w:b/>
                <w:sz w:val="20"/>
              </w:rPr>
            </w:pPr>
          </w:p>
          <w:p>
            <w:pPr>
              <w:pStyle w:val="TableParagraph"/>
              <w:spacing w:before="0"/>
              <w:ind w:left="69" w:right="42" w:firstLine="105"/>
              <w:rPr>
                <w:sz w:val="16"/>
              </w:rPr>
            </w:pPr>
            <w:r>
              <w:rPr>
                <w:sz w:val="16"/>
              </w:rPr>
              <w:t>AJUSTES NEGATIVOS</w:t>
            </w:r>
          </w:p>
        </w:tc>
        <w:tc>
          <w:tcPr>
            <w:tcW w:w="1301" w:type="dxa"/>
            <w:vMerge w:val="restart"/>
          </w:tcPr>
          <w:p>
            <w:pPr>
              <w:pStyle w:val="TableParagraph"/>
              <w:spacing w:before="0"/>
              <w:rPr>
                <w:b/>
                <w:sz w:val="16"/>
              </w:rPr>
            </w:pPr>
          </w:p>
          <w:p>
            <w:pPr>
              <w:pStyle w:val="TableParagraph"/>
              <w:spacing w:before="0"/>
              <w:rPr>
                <w:b/>
                <w:sz w:val="16"/>
              </w:rPr>
            </w:pPr>
          </w:p>
          <w:p>
            <w:pPr>
              <w:pStyle w:val="TableParagraph"/>
              <w:spacing w:before="7"/>
              <w:rPr>
                <w:b/>
                <w:sz w:val="20"/>
              </w:rPr>
            </w:pPr>
          </w:p>
          <w:p>
            <w:pPr>
              <w:pStyle w:val="TableParagraph"/>
              <w:spacing w:before="0"/>
              <w:ind w:left="302" w:right="278" w:firstLine="69"/>
              <w:rPr>
                <w:sz w:val="16"/>
              </w:rPr>
            </w:pPr>
            <w:r>
              <w:rPr>
                <w:sz w:val="16"/>
              </w:rPr>
              <w:t>AJUSTES POSITIVOS</w:t>
            </w:r>
          </w:p>
        </w:tc>
        <w:tc>
          <w:tcPr>
            <w:tcW w:w="1119" w:type="dxa"/>
            <w:vMerge w:val="restart"/>
          </w:tcPr>
          <w:p>
            <w:pPr>
              <w:pStyle w:val="TableParagraph"/>
              <w:spacing w:before="0"/>
              <w:rPr>
                <w:b/>
                <w:sz w:val="14"/>
              </w:rPr>
            </w:pPr>
          </w:p>
          <w:p>
            <w:pPr>
              <w:pStyle w:val="TableParagraph"/>
              <w:spacing w:before="0"/>
              <w:rPr>
                <w:b/>
                <w:sz w:val="14"/>
              </w:rPr>
            </w:pPr>
          </w:p>
          <w:p>
            <w:pPr>
              <w:pStyle w:val="TableParagraph"/>
              <w:spacing w:before="0"/>
              <w:rPr>
                <w:b/>
                <w:sz w:val="14"/>
              </w:rPr>
            </w:pPr>
          </w:p>
          <w:p>
            <w:pPr>
              <w:pStyle w:val="TableParagraph"/>
              <w:spacing w:before="6"/>
              <w:rPr>
                <w:b/>
                <w:sz w:val="12"/>
              </w:rPr>
            </w:pPr>
          </w:p>
          <w:p>
            <w:pPr>
              <w:pStyle w:val="TableParagraph"/>
              <w:spacing w:before="0"/>
              <w:ind w:left="289" w:firstLine="28"/>
              <w:rPr>
                <w:sz w:val="14"/>
              </w:rPr>
            </w:pPr>
            <w:r>
              <w:rPr>
                <w:sz w:val="14"/>
              </w:rPr>
              <w:t>BASE DE </w:t>
            </w:r>
            <w:r>
              <w:rPr>
                <w:w w:val="95"/>
                <w:sz w:val="14"/>
              </w:rPr>
              <w:t>CALCULO</w:t>
            </w:r>
          </w:p>
        </w:tc>
        <w:tc>
          <w:tcPr>
            <w:tcW w:w="1801" w:type="dxa"/>
            <w:gridSpan w:val="2"/>
          </w:tcPr>
          <w:p>
            <w:pPr>
              <w:pStyle w:val="TableParagraph"/>
              <w:spacing w:before="0"/>
              <w:rPr>
                <w:b/>
                <w:sz w:val="14"/>
              </w:rPr>
            </w:pPr>
          </w:p>
          <w:p>
            <w:pPr>
              <w:pStyle w:val="TableParagraph"/>
              <w:spacing w:before="0"/>
              <w:rPr>
                <w:b/>
                <w:sz w:val="14"/>
              </w:rPr>
            </w:pPr>
          </w:p>
          <w:p>
            <w:pPr>
              <w:pStyle w:val="TableParagraph"/>
              <w:spacing w:before="0"/>
              <w:rPr>
                <w:b/>
                <w:sz w:val="14"/>
              </w:rPr>
            </w:pPr>
          </w:p>
          <w:p>
            <w:pPr>
              <w:pStyle w:val="TableParagraph"/>
              <w:spacing w:before="90"/>
              <w:ind w:left="349"/>
              <w:rPr>
                <w:sz w:val="14"/>
              </w:rPr>
            </w:pPr>
            <w:r>
              <w:rPr>
                <w:sz w:val="14"/>
              </w:rPr>
              <w:t>RENTA A DESTINAR</w:t>
            </w:r>
          </w:p>
        </w:tc>
      </w:tr>
      <w:tr>
        <w:trPr>
          <w:trHeight w:val="285" w:hRule="atLeast"/>
        </w:trPr>
        <w:tc>
          <w:tcPr>
            <w:tcW w:w="792" w:type="dxa"/>
            <w:vMerge/>
            <w:tcBorders>
              <w:top w:val="nil"/>
            </w:tcBorders>
          </w:tcPr>
          <w:p>
            <w:pPr>
              <w:rPr>
                <w:sz w:val="2"/>
                <w:szCs w:val="2"/>
              </w:rPr>
            </w:pPr>
          </w:p>
        </w:tc>
        <w:tc>
          <w:tcPr>
            <w:tcW w:w="900" w:type="dxa"/>
            <w:vMerge/>
            <w:tcBorders>
              <w:top w:val="nil"/>
            </w:tcBorders>
          </w:tcPr>
          <w:p>
            <w:pPr>
              <w:rPr>
                <w:sz w:val="2"/>
                <w:szCs w:val="2"/>
              </w:rPr>
            </w:pPr>
          </w:p>
        </w:tc>
        <w:tc>
          <w:tcPr>
            <w:tcW w:w="905" w:type="dxa"/>
            <w:vMerge/>
            <w:tcBorders>
              <w:top w:val="nil"/>
            </w:tcBorders>
          </w:tcPr>
          <w:p>
            <w:pPr>
              <w:rPr>
                <w:sz w:val="2"/>
                <w:szCs w:val="2"/>
              </w:rPr>
            </w:pPr>
          </w:p>
        </w:tc>
        <w:tc>
          <w:tcPr>
            <w:tcW w:w="1301" w:type="dxa"/>
            <w:vMerge/>
            <w:tcBorders>
              <w:top w:val="nil"/>
            </w:tcBorders>
          </w:tcPr>
          <w:p>
            <w:pPr>
              <w:rPr>
                <w:sz w:val="2"/>
                <w:szCs w:val="2"/>
              </w:rPr>
            </w:pPr>
          </w:p>
        </w:tc>
        <w:tc>
          <w:tcPr>
            <w:tcW w:w="1119" w:type="dxa"/>
            <w:vMerge/>
            <w:tcBorders>
              <w:top w:val="nil"/>
            </w:tcBorders>
          </w:tcPr>
          <w:p>
            <w:pPr>
              <w:rPr>
                <w:sz w:val="2"/>
                <w:szCs w:val="2"/>
              </w:rPr>
            </w:pPr>
          </w:p>
        </w:tc>
        <w:tc>
          <w:tcPr>
            <w:tcW w:w="1102" w:type="dxa"/>
          </w:tcPr>
          <w:p>
            <w:pPr>
              <w:pStyle w:val="TableParagraph"/>
              <w:spacing w:line="175" w:lineRule="exact" w:before="90"/>
              <w:ind w:left="284"/>
              <w:rPr>
                <w:sz w:val="16"/>
              </w:rPr>
            </w:pPr>
            <w:r>
              <w:rPr>
                <w:sz w:val="16"/>
              </w:rPr>
              <w:t>Importe</w:t>
            </w:r>
          </w:p>
        </w:tc>
        <w:tc>
          <w:tcPr>
            <w:tcW w:w="699" w:type="dxa"/>
          </w:tcPr>
          <w:p>
            <w:pPr>
              <w:pStyle w:val="TableParagraph"/>
              <w:spacing w:line="175" w:lineRule="exact" w:before="90"/>
              <w:ind w:left="65"/>
              <w:rPr>
                <w:sz w:val="16"/>
              </w:rPr>
            </w:pPr>
            <w:r>
              <w:rPr>
                <w:w w:val="100"/>
                <w:sz w:val="16"/>
              </w:rPr>
              <w:t>%</w:t>
            </w:r>
          </w:p>
        </w:tc>
      </w:tr>
      <w:tr>
        <w:trPr>
          <w:trHeight w:val="225" w:hRule="atLeast"/>
        </w:trPr>
        <w:tc>
          <w:tcPr>
            <w:tcW w:w="792" w:type="dxa"/>
          </w:tcPr>
          <w:p>
            <w:pPr>
              <w:pStyle w:val="TableParagraph"/>
              <w:spacing w:line="175" w:lineRule="exact" w:before="30"/>
              <w:ind w:right="55"/>
              <w:jc w:val="right"/>
              <w:rPr>
                <w:sz w:val="16"/>
              </w:rPr>
            </w:pPr>
            <w:r>
              <w:rPr>
                <w:sz w:val="16"/>
              </w:rPr>
              <w:t>2016</w:t>
            </w:r>
          </w:p>
        </w:tc>
        <w:tc>
          <w:tcPr>
            <w:tcW w:w="900" w:type="dxa"/>
          </w:tcPr>
          <w:p>
            <w:pPr>
              <w:pStyle w:val="TableParagraph"/>
              <w:spacing w:line="175" w:lineRule="exact" w:before="30"/>
              <w:ind w:right="55"/>
              <w:jc w:val="right"/>
              <w:rPr>
                <w:sz w:val="16"/>
              </w:rPr>
            </w:pPr>
            <w:r>
              <w:rPr>
                <w:sz w:val="16"/>
              </w:rPr>
              <w:t>4.056,02</w:t>
            </w:r>
          </w:p>
        </w:tc>
        <w:tc>
          <w:tcPr>
            <w:tcW w:w="905" w:type="dxa"/>
          </w:tcPr>
          <w:p>
            <w:pPr>
              <w:pStyle w:val="TableParagraph"/>
              <w:spacing w:line="175" w:lineRule="exact" w:before="30"/>
              <w:ind w:right="58"/>
              <w:jc w:val="right"/>
              <w:rPr>
                <w:sz w:val="16"/>
              </w:rPr>
            </w:pPr>
            <w:r>
              <w:rPr>
                <w:sz w:val="16"/>
              </w:rPr>
              <w:t>0,00</w:t>
            </w:r>
          </w:p>
        </w:tc>
        <w:tc>
          <w:tcPr>
            <w:tcW w:w="1301" w:type="dxa"/>
          </w:tcPr>
          <w:p>
            <w:pPr>
              <w:pStyle w:val="TableParagraph"/>
              <w:spacing w:line="175" w:lineRule="exact" w:before="30"/>
              <w:ind w:right="58"/>
              <w:jc w:val="right"/>
              <w:rPr>
                <w:sz w:val="16"/>
              </w:rPr>
            </w:pPr>
            <w:r>
              <w:rPr>
                <w:sz w:val="16"/>
              </w:rPr>
              <w:t>350.102,36</w:t>
            </w:r>
          </w:p>
        </w:tc>
        <w:tc>
          <w:tcPr>
            <w:tcW w:w="1119" w:type="dxa"/>
          </w:tcPr>
          <w:p>
            <w:pPr>
              <w:pStyle w:val="TableParagraph"/>
              <w:spacing w:line="175" w:lineRule="exact" w:before="30"/>
              <w:ind w:right="58"/>
              <w:jc w:val="right"/>
              <w:rPr>
                <w:sz w:val="16"/>
              </w:rPr>
            </w:pPr>
            <w:r>
              <w:rPr>
                <w:sz w:val="16"/>
              </w:rPr>
              <w:t>354.158,58</w:t>
            </w:r>
          </w:p>
        </w:tc>
        <w:tc>
          <w:tcPr>
            <w:tcW w:w="1102" w:type="dxa"/>
          </w:tcPr>
          <w:p>
            <w:pPr>
              <w:pStyle w:val="TableParagraph"/>
              <w:spacing w:line="175" w:lineRule="exact" w:before="30"/>
              <w:ind w:left="298"/>
              <w:rPr>
                <w:sz w:val="16"/>
              </w:rPr>
            </w:pPr>
            <w:r>
              <w:rPr>
                <w:sz w:val="16"/>
              </w:rPr>
              <w:t>350.102,36</w:t>
            </w:r>
          </w:p>
        </w:tc>
        <w:tc>
          <w:tcPr>
            <w:tcW w:w="699" w:type="dxa"/>
          </w:tcPr>
          <w:p>
            <w:pPr>
              <w:pStyle w:val="TableParagraph"/>
              <w:spacing w:line="175" w:lineRule="exact" w:before="30"/>
              <w:ind w:right="59"/>
              <w:jc w:val="right"/>
              <w:rPr>
                <w:sz w:val="16"/>
              </w:rPr>
            </w:pPr>
            <w:r>
              <w:rPr>
                <w:sz w:val="16"/>
              </w:rPr>
              <w:t>98,85</w:t>
            </w:r>
          </w:p>
        </w:tc>
      </w:tr>
      <w:tr>
        <w:trPr>
          <w:trHeight w:val="225" w:hRule="atLeast"/>
        </w:trPr>
        <w:tc>
          <w:tcPr>
            <w:tcW w:w="792" w:type="dxa"/>
          </w:tcPr>
          <w:p>
            <w:pPr>
              <w:pStyle w:val="TableParagraph"/>
              <w:spacing w:line="175" w:lineRule="exact" w:before="30"/>
              <w:ind w:right="55"/>
              <w:jc w:val="right"/>
              <w:rPr>
                <w:sz w:val="16"/>
              </w:rPr>
            </w:pPr>
            <w:r>
              <w:rPr>
                <w:sz w:val="16"/>
              </w:rPr>
              <w:t>2017</w:t>
            </w:r>
          </w:p>
        </w:tc>
        <w:tc>
          <w:tcPr>
            <w:tcW w:w="900" w:type="dxa"/>
          </w:tcPr>
          <w:p>
            <w:pPr>
              <w:pStyle w:val="TableParagraph"/>
              <w:spacing w:line="175" w:lineRule="exact" w:before="30"/>
              <w:ind w:right="55"/>
              <w:jc w:val="right"/>
              <w:rPr>
                <w:sz w:val="16"/>
              </w:rPr>
            </w:pPr>
            <w:r>
              <w:rPr>
                <w:sz w:val="16"/>
              </w:rPr>
              <w:t>12.602,50</w:t>
            </w:r>
          </w:p>
        </w:tc>
        <w:tc>
          <w:tcPr>
            <w:tcW w:w="905" w:type="dxa"/>
          </w:tcPr>
          <w:p>
            <w:pPr>
              <w:pStyle w:val="TableParagraph"/>
              <w:spacing w:line="175" w:lineRule="exact" w:before="30"/>
              <w:ind w:right="58"/>
              <w:jc w:val="right"/>
              <w:rPr>
                <w:sz w:val="16"/>
              </w:rPr>
            </w:pPr>
            <w:r>
              <w:rPr>
                <w:sz w:val="16"/>
              </w:rPr>
              <w:t>0,00</w:t>
            </w:r>
          </w:p>
        </w:tc>
        <w:tc>
          <w:tcPr>
            <w:tcW w:w="1301" w:type="dxa"/>
          </w:tcPr>
          <w:p>
            <w:pPr>
              <w:pStyle w:val="TableParagraph"/>
              <w:spacing w:line="175" w:lineRule="exact" w:before="30"/>
              <w:ind w:right="58"/>
              <w:jc w:val="right"/>
              <w:rPr>
                <w:sz w:val="16"/>
              </w:rPr>
            </w:pPr>
            <w:r>
              <w:rPr>
                <w:sz w:val="16"/>
              </w:rPr>
              <w:t>338.487,62</w:t>
            </w:r>
          </w:p>
        </w:tc>
        <w:tc>
          <w:tcPr>
            <w:tcW w:w="1119" w:type="dxa"/>
          </w:tcPr>
          <w:p>
            <w:pPr>
              <w:pStyle w:val="TableParagraph"/>
              <w:spacing w:line="175" w:lineRule="exact" w:before="30"/>
              <w:ind w:right="58"/>
              <w:jc w:val="right"/>
              <w:rPr>
                <w:sz w:val="16"/>
              </w:rPr>
            </w:pPr>
            <w:r>
              <w:rPr>
                <w:sz w:val="16"/>
              </w:rPr>
              <w:t>351.090,12</w:t>
            </w:r>
          </w:p>
        </w:tc>
        <w:tc>
          <w:tcPr>
            <w:tcW w:w="1102" w:type="dxa"/>
          </w:tcPr>
          <w:p>
            <w:pPr>
              <w:pStyle w:val="TableParagraph"/>
              <w:spacing w:line="175" w:lineRule="exact" w:before="30"/>
              <w:ind w:left="298"/>
              <w:rPr>
                <w:sz w:val="16"/>
              </w:rPr>
            </w:pPr>
            <w:r>
              <w:rPr>
                <w:sz w:val="16"/>
              </w:rPr>
              <w:t>338.487,62</w:t>
            </w:r>
          </w:p>
        </w:tc>
        <w:tc>
          <w:tcPr>
            <w:tcW w:w="699" w:type="dxa"/>
          </w:tcPr>
          <w:p>
            <w:pPr>
              <w:pStyle w:val="TableParagraph"/>
              <w:spacing w:line="175" w:lineRule="exact" w:before="30"/>
              <w:ind w:right="59"/>
              <w:jc w:val="right"/>
              <w:rPr>
                <w:sz w:val="16"/>
              </w:rPr>
            </w:pPr>
            <w:r>
              <w:rPr>
                <w:sz w:val="16"/>
              </w:rPr>
              <w:t>96,41</w:t>
            </w:r>
          </w:p>
        </w:tc>
      </w:tr>
      <w:tr>
        <w:trPr>
          <w:trHeight w:val="225" w:hRule="atLeast"/>
        </w:trPr>
        <w:tc>
          <w:tcPr>
            <w:tcW w:w="792" w:type="dxa"/>
          </w:tcPr>
          <w:p>
            <w:pPr>
              <w:pStyle w:val="TableParagraph"/>
              <w:spacing w:line="175" w:lineRule="exact" w:before="30"/>
              <w:ind w:right="55"/>
              <w:jc w:val="right"/>
              <w:rPr>
                <w:sz w:val="16"/>
              </w:rPr>
            </w:pPr>
            <w:r>
              <w:rPr>
                <w:sz w:val="16"/>
              </w:rPr>
              <w:t>2018</w:t>
            </w:r>
          </w:p>
        </w:tc>
        <w:tc>
          <w:tcPr>
            <w:tcW w:w="900" w:type="dxa"/>
          </w:tcPr>
          <w:p>
            <w:pPr>
              <w:pStyle w:val="TableParagraph"/>
              <w:spacing w:line="175" w:lineRule="exact" w:before="30"/>
              <w:ind w:right="55"/>
              <w:jc w:val="right"/>
              <w:rPr>
                <w:sz w:val="16"/>
              </w:rPr>
            </w:pPr>
            <w:r>
              <w:rPr>
                <w:sz w:val="16"/>
              </w:rPr>
              <w:t>10.595,50</w:t>
            </w:r>
          </w:p>
        </w:tc>
        <w:tc>
          <w:tcPr>
            <w:tcW w:w="905" w:type="dxa"/>
          </w:tcPr>
          <w:p>
            <w:pPr>
              <w:pStyle w:val="TableParagraph"/>
              <w:spacing w:line="175" w:lineRule="exact" w:before="30"/>
              <w:ind w:right="58"/>
              <w:jc w:val="right"/>
              <w:rPr>
                <w:sz w:val="16"/>
              </w:rPr>
            </w:pPr>
            <w:r>
              <w:rPr>
                <w:sz w:val="16"/>
              </w:rPr>
              <w:t>0,00</w:t>
            </w:r>
          </w:p>
        </w:tc>
        <w:tc>
          <w:tcPr>
            <w:tcW w:w="1301" w:type="dxa"/>
          </w:tcPr>
          <w:p>
            <w:pPr>
              <w:pStyle w:val="TableParagraph"/>
              <w:spacing w:line="175" w:lineRule="exact" w:before="30"/>
              <w:ind w:right="58"/>
              <w:jc w:val="right"/>
              <w:rPr>
                <w:sz w:val="16"/>
              </w:rPr>
            </w:pPr>
            <w:r>
              <w:rPr>
                <w:sz w:val="16"/>
              </w:rPr>
              <w:t>352.232,26</w:t>
            </w:r>
          </w:p>
        </w:tc>
        <w:tc>
          <w:tcPr>
            <w:tcW w:w="1119" w:type="dxa"/>
          </w:tcPr>
          <w:p>
            <w:pPr>
              <w:pStyle w:val="TableParagraph"/>
              <w:spacing w:line="175" w:lineRule="exact" w:before="30"/>
              <w:ind w:right="58"/>
              <w:jc w:val="right"/>
              <w:rPr>
                <w:sz w:val="16"/>
              </w:rPr>
            </w:pPr>
            <w:r>
              <w:rPr>
                <w:sz w:val="16"/>
              </w:rPr>
              <w:t>362.827,76</w:t>
            </w:r>
          </w:p>
        </w:tc>
        <w:tc>
          <w:tcPr>
            <w:tcW w:w="1102" w:type="dxa"/>
          </w:tcPr>
          <w:p>
            <w:pPr>
              <w:pStyle w:val="TableParagraph"/>
              <w:spacing w:line="175" w:lineRule="exact" w:before="30"/>
              <w:ind w:left="298"/>
              <w:rPr>
                <w:sz w:val="16"/>
              </w:rPr>
            </w:pPr>
            <w:r>
              <w:rPr>
                <w:sz w:val="16"/>
              </w:rPr>
              <w:t>352.232,26</w:t>
            </w:r>
          </w:p>
        </w:tc>
        <w:tc>
          <w:tcPr>
            <w:tcW w:w="699" w:type="dxa"/>
          </w:tcPr>
          <w:p>
            <w:pPr>
              <w:pStyle w:val="TableParagraph"/>
              <w:spacing w:line="175" w:lineRule="exact" w:before="30"/>
              <w:ind w:right="59"/>
              <w:jc w:val="right"/>
              <w:rPr>
                <w:sz w:val="16"/>
              </w:rPr>
            </w:pPr>
            <w:r>
              <w:rPr>
                <w:sz w:val="16"/>
              </w:rPr>
              <w:t>97,07</w:t>
            </w:r>
          </w:p>
        </w:tc>
      </w:tr>
      <w:tr>
        <w:trPr>
          <w:trHeight w:val="225" w:hRule="atLeast"/>
        </w:trPr>
        <w:tc>
          <w:tcPr>
            <w:tcW w:w="792" w:type="dxa"/>
          </w:tcPr>
          <w:p>
            <w:pPr>
              <w:pStyle w:val="TableParagraph"/>
              <w:spacing w:line="175" w:lineRule="exact" w:before="30"/>
              <w:ind w:right="55"/>
              <w:jc w:val="right"/>
              <w:rPr>
                <w:sz w:val="16"/>
              </w:rPr>
            </w:pPr>
            <w:r>
              <w:rPr>
                <w:sz w:val="16"/>
              </w:rPr>
              <w:t>2019</w:t>
            </w:r>
          </w:p>
        </w:tc>
        <w:tc>
          <w:tcPr>
            <w:tcW w:w="900" w:type="dxa"/>
          </w:tcPr>
          <w:p>
            <w:pPr>
              <w:pStyle w:val="TableParagraph"/>
              <w:spacing w:line="175" w:lineRule="exact" w:before="30"/>
              <w:ind w:right="55"/>
              <w:jc w:val="right"/>
              <w:rPr>
                <w:sz w:val="16"/>
              </w:rPr>
            </w:pPr>
            <w:r>
              <w:rPr>
                <w:sz w:val="16"/>
              </w:rPr>
              <w:t>23.540,83</w:t>
            </w:r>
          </w:p>
        </w:tc>
        <w:tc>
          <w:tcPr>
            <w:tcW w:w="905" w:type="dxa"/>
          </w:tcPr>
          <w:p>
            <w:pPr>
              <w:pStyle w:val="TableParagraph"/>
              <w:spacing w:line="175" w:lineRule="exact" w:before="30"/>
              <w:ind w:right="58"/>
              <w:jc w:val="right"/>
              <w:rPr>
                <w:sz w:val="16"/>
              </w:rPr>
            </w:pPr>
            <w:r>
              <w:rPr>
                <w:sz w:val="16"/>
              </w:rPr>
              <w:t>0,00</w:t>
            </w:r>
          </w:p>
        </w:tc>
        <w:tc>
          <w:tcPr>
            <w:tcW w:w="1301" w:type="dxa"/>
          </w:tcPr>
          <w:p>
            <w:pPr>
              <w:pStyle w:val="TableParagraph"/>
              <w:spacing w:line="175" w:lineRule="exact" w:before="30"/>
              <w:ind w:right="58"/>
              <w:jc w:val="right"/>
              <w:rPr>
                <w:sz w:val="16"/>
              </w:rPr>
            </w:pPr>
            <w:r>
              <w:rPr>
                <w:sz w:val="16"/>
              </w:rPr>
              <w:t>357.126,27</w:t>
            </w:r>
          </w:p>
        </w:tc>
        <w:tc>
          <w:tcPr>
            <w:tcW w:w="1119" w:type="dxa"/>
          </w:tcPr>
          <w:p>
            <w:pPr>
              <w:pStyle w:val="TableParagraph"/>
              <w:spacing w:line="175" w:lineRule="exact" w:before="30"/>
              <w:ind w:right="58"/>
              <w:jc w:val="right"/>
              <w:rPr>
                <w:sz w:val="16"/>
              </w:rPr>
            </w:pPr>
            <w:r>
              <w:rPr>
                <w:sz w:val="16"/>
              </w:rPr>
              <w:t>380.667,10</w:t>
            </w:r>
          </w:p>
        </w:tc>
        <w:tc>
          <w:tcPr>
            <w:tcW w:w="1102" w:type="dxa"/>
          </w:tcPr>
          <w:p>
            <w:pPr>
              <w:pStyle w:val="TableParagraph"/>
              <w:spacing w:line="175" w:lineRule="exact" w:before="30"/>
              <w:ind w:left="298"/>
              <w:rPr>
                <w:sz w:val="16"/>
              </w:rPr>
            </w:pPr>
            <w:r>
              <w:rPr>
                <w:sz w:val="16"/>
              </w:rPr>
              <w:t>357.126,27</w:t>
            </w:r>
          </w:p>
        </w:tc>
        <w:tc>
          <w:tcPr>
            <w:tcW w:w="699" w:type="dxa"/>
          </w:tcPr>
          <w:p>
            <w:pPr>
              <w:pStyle w:val="TableParagraph"/>
              <w:spacing w:line="175" w:lineRule="exact" w:before="30"/>
              <w:ind w:right="59"/>
              <w:jc w:val="right"/>
              <w:rPr>
                <w:sz w:val="16"/>
              </w:rPr>
            </w:pPr>
            <w:r>
              <w:rPr>
                <w:sz w:val="16"/>
              </w:rPr>
              <w:t>93,81</w:t>
            </w:r>
          </w:p>
        </w:tc>
      </w:tr>
      <w:tr>
        <w:trPr>
          <w:trHeight w:val="225" w:hRule="atLeast"/>
        </w:trPr>
        <w:tc>
          <w:tcPr>
            <w:tcW w:w="792" w:type="dxa"/>
          </w:tcPr>
          <w:p>
            <w:pPr>
              <w:pStyle w:val="TableParagraph"/>
              <w:spacing w:line="175" w:lineRule="exact" w:before="30"/>
              <w:ind w:right="55"/>
              <w:jc w:val="right"/>
              <w:rPr>
                <w:sz w:val="16"/>
              </w:rPr>
            </w:pPr>
            <w:r>
              <w:rPr>
                <w:sz w:val="16"/>
              </w:rPr>
              <w:t>2020</w:t>
            </w:r>
          </w:p>
        </w:tc>
        <w:tc>
          <w:tcPr>
            <w:tcW w:w="900" w:type="dxa"/>
          </w:tcPr>
          <w:p>
            <w:pPr>
              <w:pStyle w:val="TableParagraph"/>
              <w:spacing w:line="175" w:lineRule="exact" w:before="30"/>
              <w:ind w:right="55"/>
              <w:jc w:val="right"/>
              <w:rPr>
                <w:sz w:val="16"/>
              </w:rPr>
            </w:pPr>
            <w:r>
              <w:rPr>
                <w:sz w:val="16"/>
              </w:rPr>
              <w:t>9.549,12</w:t>
            </w:r>
          </w:p>
        </w:tc>
        <w:tc>
          <w:tcPr>
            <w:tcW w:w="905" w:type="dxa"/>
          </w:tcPr>
          <w:p>
            <w:pPr>
              <w:pStyle w:val="TableParagraph"/>
              <w:spacing w:line="175" w:lineRule="exact" w:before="30"/>
              <w:ind w:right="58"/>
              <w:jc w:val="right"/>
              <w:rPr>
                <w:sz w:val="16"/>
              </w:rPr>
            </w:pPr>
            <w:r>
              <w:rPr>
                <w:sz w:val="16"/>
              </w:rPr>
              <w:t>0,00</w:t>
            </w:r>
          </w:p>
        </w:tc>
        <w:tc>
          <w:tcPr>
            <w:tcW w:w="1301" w:type="dxa"/>
          </w:tcPr>
          <w:p>
            <w:pPr>
              <w:pStyle w:val="TableParagraph"/>
              <w:spacing w:line="175" w:lineRule="exact" w:before="30"/>
              <w:ind w:right="58"/>
              <w:jc w:val="right"/>
              <w:rPr>
                <w:sz w:val="16"/>
              </w:rPr>
            </w:pPr>
            <w:r>
              <w:rPr>
                <w:sz w:val="16"/>
              </w:rPr>
              <w:t>339.539,41</w:t>
            </w:r>
          </w:p>
        </w:tc>
        <w:tc>
          <w:tcPr>
            <w:tcW w:w="1119" w:type="dxa"/>
          </w:tcPr>
          <w:p>
            <w:pPr>
              <w:pStyle w:val="TableParagraph"/>
              <w:spacing w:line="175" w:lineRule="exact" w:before="30"/>
              <w:ind w:right="58"/>
              <w:jc w:val="right"/>
              <w:rPr>
                <w:sz w:val="16"/>
              </w:rPr>
            </w:pPr>
            <w:r>
              <w:rPr>
                <w:sz w:val="16"/>
              </w:rPr>
              <w:t>349.088,53</w:t>
            </w:r>
          </w:p>
        </w:tc>
        <w:tc>
          <w:tcPr>
            <w:tcW w:w="1102" w:type="dxa"/>
          </w:tcPr>
          <w:p>
            <w:pPr>
              <w:pStyle w:val="TableParagraph"/>
              <w:spacing w:line="175" w:lineRule="exact" w:before="30"/>
              <w:ind w:left="298"/>
              <w:rPr>
                <w:sz w:val="16"/>
              </w:rPr>
            </w:pPr>
            <w:r>
              <w:rPr>
                <w:sz w:val="16"/>
              </w:rPr>
              <w:t>339.539,41</w:t>
            </w:r>
          </w:p>
        </w:tc>
        <w:tc>
          <w:tcPr>
            <w:tcW w:w="699" w:type="dxa"/>
          </w:tcPr>
          <w:p>
            <w:pPr>
              <w:pStyle w:val="TableParagraph"/>
              <w:spacing w:line="175" w:lineRule="exact" w:before="30"/>
              <w:ind w:right="59"/>
              <w:jc w:val="right"/>
              <w:rPr>
                <w:sz w:val="16"/>
              </w:rPr>
            </w:pPr>
            <w:r>
              <w:rPr>
                <w:sz w:val="16"/>
              </w:rPr>
              <w:t>97,26</w:t>
            </w:r>
          </w:p>
        </w:tc>
      </w:tr>
      <w:tr>
        <w:trPr>
          <w:trHeight w:val="225" w:hRule="atLeast"/>
        </w:trPr>
        <w:tc>
          <w:tcPr>
            <w:tcW w:w="792" w:type="dxa"/>
          </w:tcPr>
          <w:p>
            <w:pPr>
              <w:pStyle w:val="TableParagraph"/>
              <w:spacing w:line="178" w:lineRule="exact" w:before="27"/>
              <w:ind w:right="55"/>
              <w:jc w:val="right"/>
              <w:rPr>
                <w:sz w:val="16"/>
              </w:rPr>
            </w:pPr>
            <w:r>
              <w:rPr>
                <w:sz w:val="16"/>
              </w:rPr>
              <w:t>2021</w:t>
            </w:r>
          </w:p>
        </w:tc>
        <w:tc>
          <w:tcPr>
            <w:tcW w:w="900" w:type="dxa"/>
          </w:tcPr>
          <w:p>
            <w:pPr>
              <w:pStyle w:val="TableParagraph"/>
              <w:spacing w:line="178" w:lineRule="exact" w:before="27"/>
              <w:ind w:right="55"/>
              <w:jc w:val="right"/>
              <w:rPr>
                <w:sz w:val="16"/>
              </w:rPr>
            </w:pPr>
            <w:r>
              <w:rPr>
                <w:sz w:val="16"/>
              </w:rPr>
              <w:t>-4.082,03</w:t>
            </w:r>
          </w:p>
        </w:tc>
        <w:tc>
          <w:tcPr>
            <w:tcW w:w="905" w:type="dxa"/>
          </w:tcPr>
          <w:p>
            <w:pPr>
              <w:pStyle w:val="TableParagraph"/>
              <w:spacing w:line="178" w:lineRule="exact" w:before="27"/>
              <w:ind w:right="58"/>
              <w:jc w:val="right"/>
              <w:rPr>
                <w:sz w:val="16"/>
              </w:rPr>
            </w:pPr>
            <w:r>
              <w:rPr>
                <w:sz w:val="16"/>
              </w:rPr>
              <w:t>0,00</w:t>
            </w:r>
          </w:p>
        </w:tc>
        <w:tc>
          <w:tcPr>
            <w:tcW w:w="1301" w:type="dxa"/>
          </w:tcPr>
          <w:p>
            <w:pPr>
              <w:pStyle w:val="TableParagraph"/>
              <w:spacing w:line="178" w:lineRule="exact" w:before="27"/>
              <w:ind w:right="58"/>
              <w:jc w:val="right"/>
              <w:rPr>
                <w:sz w:val="16"/>
              </w:rPr>
            </w:pPr>
            <w:r>
              <w:rPr>
                <w:sz w:val="16"/>
              </w:rPr>
              <w:t>354.929,09</w:t>
            </w:r>
          </w:p>
        </w:tc>
        <w:tc>
          <w:tcPr>
            <w:tcW w:w="1119" w:type="dxa"/>
          </w:tcPr>
          <w:p>
            <w:pPr>
              <w:pStyle w:val="TableParagraph"/>
              <w:spacing w:line="178" w:lineRule="exact" w:before="27"/>
              <w:ind w:right="58"/>
              <w:jc w:val="right"/>
              <w:rPr>
                <w:sz w:val="16"/>
              </w:rPr>
            </w:pPr>
            <w:r>
              <w:rPr>
                <w:sz w:val="16"/>
              </w:rPr>
              <w:t>350.847,06</w:t>
            </w:r>
          </w:p>
        </w:tc>
        <w:tc>
          <w:tcPr>
            <w:tcW w:w="1102" w:type="dxa"/>
          </w:tcPr>
          <w:p>
            <w:pPr>
              <w:pStyle w:val="TableParagraph"/>
              <w:spacing w:line="178" w:lineRule="exact" w:before="27"/>
              <w:ind w:left="298"/>
              <w:rPr>
                <w:sz w:val="16"/>
              </w:rPr>
            </w:pPr>
            <w:r>
              <w:rPr>
                <w:sz w:val="16"/>
              </w:rPr>
              <w:t>354.929,09</w:t>
            </w:r>
          </w:p>
        </w:tc>
        <w:tc>
          <w:tcPr>
            <w:tcW w:w="699" w:type="dxa"/>
          </w:tcPr>
          <w:p>
            <w:pPr>
              <w:pStyle w:val="TableParagraph"/>
              <w:spacing w:line="178" w:lineRule="exact" w:before="27"/>
              <w:ind w:right="59"/>
              <w:jc w:val="right"/>
              <w:rPr>
                <w:sz w:val="16"/>
              </w:rPr>
            </w:pPr>
            <w:r>
              <w:rPr>
                <w:sz w:val="16"/>
              </w:rPr>
              <w:t>101,16</w:t>
            </w:r>
          </w:p>
        </w:tc>
      </w:tr>
      <w:tr>
        <w:trPr>
          <w:trHeight w:val="225" w:hRule="atLeast"/>
        </w:trPr>
        <w:tc>
          <w:tcPr>
            <w:tcW w:w="792" w:type="dxa"/>
          </w:tcPr>
          <w:p>
            <w:pPr>
              <w:pStyle w:val="TableParagraph"/>
              <w:spacing w:line="178" w:lineRule="exact" w:before="27"/>
              <w:ind w:right="55"/>
              <w:jc w:val="right"/>
              <w:rPr>
                <w:sz w:val="16"/>
              </w:rPr>
            </w:pPr>
            <w:r>
              <w:rPr>
                <w:sz w:val="16"/>
              </w:rPr>
              <w:t>2022</w:t>
            </w:r>
          </w:p>
        </w:tc>
        <w:tc>
          <w:tcPr>
            <w:tcW w:w="900" w:type="dxa"/>
          </w:tcPr>
          <w:p>
            <w:pPr>
              <w:pStyle w:val="TableParagraph"/>
              <w:spacing w:line="178" w:lineRule="exact" w:before="27"/>
              <w:ind w:right="55"/>
              <w:jc w:val="right"/>
              <w:rPr>
                <w:sz w:val="16"/>
              </w:rPr>
            </w:pPr>
            <w:r>
              <w:rPr>
                <w:sz w:val="16"/>
              </w:rPr>
              <w:t>-17.368,41</w:t>
            </w:r>
          </w:p>
        </w:tc>
        <w:tc>
          <w:tcPr>
            <w:tcW w:w="905" w:type="dxa"/>
          </w:tcPr>
          <w:p>
            <w:pPr>
              <w:pStyle w:val="TableParagraph"/>
              <w:spacing w:line="178" w:lineRule="exact" w:before="27"/>
              <w:ind w:right="58"/>
              <w:jc w:val="right"/>
              <w:rPr>
                <w:sz w:val="16"/>
              </w:rPr>
            </w:pPr>
            <w:r>
              <w:rPr>
                <w:sz w:val="16"/>
              </w:rPr>
              <w:t>0,00</w:t>
            </w:r>
          </w:p>
        </w:tc>
        <w:tc>
          <w:tcPr>
            <w:tcW w:w="1301" w:type="dxa"/>
          </w:tcPr>
          <w:p>
            <w:pPr>
              <w:pStyle w:val="TableParagraph"/>
              <w:spacing w:line="178" w:lineRule="exact" w:before="27"/>
              <w:ind w:right="58"/>
              <w:jc w:val="right"/>
              <w:rPr>
                <w:sz w:val="16"/>
              </w:rPr>
            </w:pPr>
            <w:r>
              <w:rPr>
                <w:sz w:val="16"/>
              </w:rPr>
              <w:t>350.975,41</w:t>
            </w:r>
          </w:p>
        </w:tc>
        <w:tc>
          <w:tcPr>
            <w:tcW w:w="1119" w:type="dxa"/>
          </w:tcPr>
          <w:p>
            <w:pPr>
              <w:pStyle w:val="TableParagraph"/>
              <w:spacing w:line="178" w:lineRule="exact" w:before="27"/>
              <w:ind w:right="58"/>
              <w:jc w:val="right"/>
              <w:rPr>
                <w:sz w:val="16"/>
              </w:rPr>
            </w:pPr>
            <w:r>
              <w:rPr>
                <w:sz w:val="16"/>
              </w:rPr>
              <w:t>333.607,00</w:t>
            </w:r>
          </w:p>
        </w:tc>
        <w:tc>
          <w:tcPr>
            <w:tcW w:w="1102" w:type="dxa"/>
          </w:tcPr>
          <w:p>
            <w:pPr>
              <w:pStyle w:val="TableParagraph"/>
              <w:spacing w:line="178" w:lineRule="exact" w:before="27"/>
              <w:ind w:left="298"/>
              <w:rPr>
                <w:sz w:val="16"/>
              </w:rPr>
            </w:pPr>
            <w:r>
              <w:rPr>
                <w:sz w:val="16"/>
              </w:rPr>
              <w:t>350.975,41</w:t>
            </w:r>
          </w:p>
        </w:tc>
        <w:tc>
          <w:tcPr>
            <w:tcW w:w="699" w:type="dxa"/>
          </w:tcPr>
          <w:p>
            <w:pPr>
              <w:pStyle w:val="TableParagraph"/>
              <w:spacing w:line="178" w:lineRule="exact" w:before="27"/>
              <w:ind w:right="59"/>
              <w:jc w:val="right"/>
              <w:rPr>
                <w:sz w:val="16"/>
              </w:rPr>
            </w:pPr>
            <w:r>
              <w:rPr>
                <w:sz w:val="16"/>
              </w:rPr>
              <w:t>105,21</w:t>
            </w:r>
          </w:p>
        </w:tc>
      </w:tr>
      <w:tr>
        <w:trPr>
          <w:trHeight w:val="225" w:hRule="atLeast"/>
        </w:trPr>
        <w:tc>
          <w:tcPr>
            <w:tcW w:w="792" w:type="dxa"/>
          </w:tcPr>
          <w:p>
            <w:pPr>
              <w:pStyle w:val="TableParagraph"/>
              <w:spacing w:line="178" w:lineRule="exact" w:before="27"/>
              <w:ind w:right="55"/>
              <w:jc w:val="right"/>
              <w:rPr>
                <w:sz w:val="16"/>
              </w:rPr>
            </w:pPr>
            <w:r>
              <w:rPr>
                <w:sz w:val="16"/>
              </w:rPr>
              <w:t>2023</w:t>
            </w:r>
          </w:p>
        </w:tc>
        <w:tc>
          <w:tcPr>
            <w:tcW w:w="900" w:type="dxa"/>
          </w:tcPr>
          <w:p>
            <w:pPr>
              <w:pStyle w:val="TableParagraph"/>
              <w:spacing w:line="178" w:lineRule="exact" w:before="27"/>
              <w:ind w:right="55"/>
              <w:jc w:val="right"/>
              <w:rPr>
                <w:sz w:val="16"/>
              </w:rPr>
            </w:pPr>
            <w:r>
              <w:rPr>
                <w:sz w:val="16"/>
              </w:rPr>
              <w:t>-21.313,74</w:t>
            </w:r>
          </w:p>
        </w:tc>
        <w:tc>
          <w:tcPr>
            <w:tcW w:w="905" w:type="dxa"/>
          </w:tcPr>
          <w:p>
            <w:pPr>
              <w:pStyle w:val="TableParagraph"/>
              <w:spacing w:line="178" w:lineRule="exact" w:before="27"/>
              <w:ind w:right="58"/>
              <w:jc w:val="right"/>
              <w:rPr>
                <w:sz w:val="16"/>
              </w:rPr>
            </w:pPr>
            <w:r>
              <w:rPr>
                <w:sz w:val="16"/>
              </w:rPr>
              <w:t>0,00</w:t>
            </w:r>
          </w:p>
        </w:tc>
        <w:tc>
          <w:tcPr>
            <w:tcW w:w="1301" w:type="dxa"/>
          </w:tcPr>
          <w:p>
            <w:pPr>
              <w:pStyle w:val="TableParagraph"/>
              <w:spacing w:line="178" w:lineRule="exact" w:before="27"/>
              <w:ind w:right="58"/>
              <w:jc w:val="right"/>
              <w:rPr>
                <w:sz w:val="16"/>
              </w:rPr>
            </w:pPr>
            <w:r>
              <w:rPr>
                <w:sz w:val="16"/>
              </w:rPr>
              <w:t>386.732,84</w:t>
            </w:r>
          </w:p>
        </w:tc>
        <w:tc>
          <w:tcPr>
            <w:tcW w:w="1119" w:type="dxa"/>
          </w:tcPr>
          <w:p>
            <w:pPr>
              <w:pStyle w:val="TableParagraph"/>
              <w:spacing w:line="178" w:lineRule="exact" w:before="27"/>
              <w:ind w:right="58"/>
              <w:jc w:val="right"/>
              <w:rPr>
                <w:sz w:val="16"/>
              </w:rPr>
            </w:pPr>
            <w:r>
              <w:rPr>
                <w:sz w:val="16"/>
              </w:rPr>
              <w:t>365.419,10</w:t>
            </w:r>
          </w:p>
        </w:tc>
        <w:tc>
          <w:tcPr>
            <w:tcW w:w="1102" w:type="dxa"/>
          </w:tcPr>
          <w:p>
            <w:pPr>
              <w:pStyle w:val="TableParagraph"/>
              <w:spacing w:line="178" w:lineRule="exact" w:before="27"/>
              <w:ind w:left="298"/>
              <w:rPr>
                <w:sz w:val="16"/>
              </w:rPr>
            </w:pPr>
            <w:r>
              <w:rPr>
                <w:sz w:val="16"/>
              </w:rPr>
              <w:t>386.732,84</w:t>
            </w:r>
          </w:p>
        </w:tc>
        <w:tc>
          <w:tcPr>
            <w:tcW w:w="699" w:type="dxa"/>
          </w:tcPr>
          <w:p>
            <w:pPr>
              <w:pStyle w:val="TableParagraph"/>
              <w:spacing w:line="178" w:lineRule="exact" w:before="27"/>
              <w:ind w:right="59"/>
              <w:jc w:val="right"/>
              <w:rPr>
                <w:sz w:val="16"/>
              </w:rPr>
            </w:pPr>
            <w:r>
              <w:rPr>
                <w:sz w:val="16"/>
              </w:rPr>
              <w:t>105,86</w:t>
            </w:r>
          </w:p>
        </w:tc>
      </w:tr>
      <w:tr>
        <w:trPr>
          <w:trHeight w:val="225" w:hRule="atLeast"/>
        </w:trPr>
        <w:tc>
          <w:tcPr>
            <w:tcW w:w="792" w:type="dxa"/>
          </w:tcPr>
          <w:p>
            <w:pPr>
              <w:pStyle w:val="TableParagraph"/>
              <w:spacing w:line="178" w:lineRule="exact" w:before="27"/>
              <w:ind w:right="55"/>
              <w:jc w:val="right"/>
              <w:rPr>
                <w:sz w:val="16"/>
              </w:rPr>
            </w:pPr>
            <w:r>
              <w:rPr>
                <w:sz w:val="16"/>
              </w:rPr>
              <w:t>2024</w:t>
            </w:r>
          </w:p>
        </w:tc>
        <w:tc>
          <w:tcPr>
            <w:tcW w:w="900" w:type="dxa"/>
          </w:tcPr>
          <w:p>
            <w:pPr>
              <w:pStyle w:val="TableParagraph"/>
              <w:spacing w:line="178" w:lineRule="exact" w:before="27"/>
              <w:ind w:right="55"/>
              <w:jc w:val="right"/>
              <w:rPr>
                <w:sz w:val="16"/>
              </w:rPr>
            </w:pPr>
            <w:r>
              <w:rPr>
                <w:sz w:val="16"/>
              </w:rPr>
              <w:t>25.439,68</w:t>
            </w:r>
          </w:p>
        </w:tc>
        <w:tc>
          <w:tcPr>
            <w:tcW w:w="905" w:type="dxa"/>
          </w:tcPr>
          <w:p>
            <w:pPr>
              <w:pStyle w:val="TableParagraph"/>
              <w:spacing w:line="178" w:lineRule="exact" w:before="27"/>
              <w:ind w:right="58"/>
              <w:jc w:val="right"/>
              <w:rPr>
                <w:sz w:val="16"/>
              </w:rPr>
            </w:pPr>
            <w:r>
              <w:rPr>
                <w:sz w:val="16"/>
              </w:rPr>
              <w:t>0,00</w:t>
            </w:r>
          </w:p>
        </w:tc>
        <w:tc>
          <w:tcPr>
            <w:tcW w:w="1301" w:type="dxa"/>
          </w:tcPr>
          <w:p>
            <w:pPr>
              <w:pStyle w:val="TableParagraph"/>
              <w:spacing w:line="178" w:lineRule="exact" w:before="27"/>
              <w:ind w:right="58"/>
              <w:jc w:val="right"/>
              <w:rPr>
                <w:sz w:val="16"/>
              </w:rPr>
            </w:pPr>
            <w:r>
              <w:rPr>
                <w:sz w:val="16"/>
              </w:rPr>
              <w:t>402.245,94</w:t>
            </w:r>
          </w:p>
        </w:tc>
        <w:tc>
          <w:tcPr>
            <w:tcW w:w="1119" w:type="dxa"/>
          </w:tcPr>
          <w:p>
            <w:pPr>
              <w:pStyle w:val="TableParagraph"/>
              <w:spacing w:line="178" w:lineRule="exact" w:before="27"/>
              <w:ind w:right="58"/>
              <w:jc w:val="right"/>
              <w:rPr>
                <w:sz w:val="16"/>
              </w:rPr>
            </w:pPr>
            <w:r>
              <w:rPr>
                <w:sz w:val="16"/>
              </w:rPr>
              <w:t>427.685,62</w:t>
            </w:r>
          </w:p>
        </w:tc>
        <w:tc>
          <w:tcPr>
            <w:tcW w:w="1102" w:type="dxa"/>
          </w:tcPr>
          <w:p>
            <w:pPr>
              <w:pStyle w:val="TableParagraph"/>
              <w:spacing w:line="178" w:lineRule="exact" w:before="27"/>
              <w:ind w:left="298"/>
              <w:rPr>
                <w:sz w:val="16"/>
              </w:rPr>
            </w:pPr>
            <w:r>
              <w:rPr>
                <w:sz w:val="16"/>
              </w:rPr>
              <w:t>402.245,94</w:t>
            </w:r>
          </w:p>
        </w:tc>
        <w:tc>
          <w:tcPr>
            <w:tcW w:w="699" w:type="dxa"/>
          </w:tcPr>
          <w:p>
            <w:pPr>
              <w:pStyle w:val="TableParagraph"/>
              <w:spacing w:line="178" w:lineRule="exact" w:before="27"/>
              <w:ind w:right="59"/>
              <w:jc w:val="right"/>
              <w:rPr>
                <w:sz w:val="16"/>
              </w:rPr>
            </w:pPr>
            <w:r>
              <w:rPr>
                <w:sz w:val="16"/>
              </w:rPr>
              <w:t>94,05</w:t>
            </w:r>
          </w:p>
        </w:tc>
      </w:tr>
    </w:tbl>
    <w:p>
      <w:pPr>
        <w:pStyle w:val="BodyText"/>
        <w:rPr>
          <w:b/>
          <w:sz w:val="20"/>
        </w:rPr>
      </w:pPr>
    </w:p>
    <w:p>
      <w:pPr>
        <w:pStyle w:val="BodyText"/>
        <w:spacing w:before="6" w:after="1"/>
        <w:rPr>
          <w:b/>
          <w:sz w:val="28"/>
        </w:rPr>
      </w:pPr>
    </w:p>
    <w:tbl>
      <w:tblPr>
        <w:tblW w:w="0" w:type="auto"/>
        <w:jc w:val="left"/>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21"/>
        <w:gridCol w:w="2340"/>
        <w:gridCol w:w="1740"/>
      </w:tblGrid>
      <w:tr>
        <w:trPr>
          <w:trHeight w:val="750" w:hRule="atLeast"/>
        </w:trPr>
        <w:tc>
          <w:tcPr>
            <w:tcW w:w="3221" w:type="dxa"/>
          </w:tcPr>
          <w:p>
            <w:pPr>
              <w:pStyle w:val="TableParagraph"/>
              <w:spacing w:before="0"/>
              <w:rPr>
                <w:b/>
                <w:sz w:val="16"/>
              </w:rPr>
            </w:pPr>
          </w:p>
          <w:p>
            <w:pPr>
              <w:pStyle w:val="TableParagraph"/>
              <w:spacing w:before="1"/>
              <w:rPr>
                <w:b/>
                <w:sz w:val="13"/>
              </w:rPr>
            </w:pPr>
          </w:p>
          <w:p>
            <w:pPr>
              <w:pStyle w:val="TableParagraph"/>
              <w:spacing w:line="194" w:lineRule="exact" w:before="1"/>
              <w:ind w:left="518" w:right="52" w:hanging="442"/>
              <w:rPr>
                <w:sz w:val="16"/>
              </w:rPr>
            </w:pPr>
            <w:r>
              <w:rPr>
                <w:sz w:val="16"/>
              </w:rPr>
              <w:t>APLICACIÓN DE LOS RESULTADOS DESTINADOS EN CUMPLIMIENTO DE SUS FINES</w:t>
            </w:r>
          </w:p>
        </w:tc>
        <w:tc>
          <w:tcPr>
            <w:tcW w:w="2340" w:type="dxa"/>
          </w:tcPr>
          <w:p>
            <w:pPr>
              <w:pStyle w:val="TableParagraph"/>
              <w:spacing w:before="0"/>
              <w:rPr>
                <w:b/>
                <w:sz w:val="16"/>
              </w:rPr>
            </w:pPr>
          </w:p>
          <w:p>
            <w:pPr>
              <w:pStyle w:val="TableParagraph"/>
              <w:spacing w:before="1"/>
              <w:rPr>
                <w:b/>
                <w:sz w:val="13"/>
              </w:rPr>
            </w:pPr>
          </w:p>
          <w:p>
            <w:pPr>
              <w:pStyle w:val="TableParagraph"/>
              <w:spacing w:line="194" w:lineRule="exact" w:before="1"/>
              <w:ind w:left="458" w:right="91" w:hanging="344"/>
              <w:rPr>
                <w:sz w:val="16"/>
              </w:rPr>
            </w:pPr>
            <w:r>
              <w:rPr>
                <w:sz w:val="16"/>
              </w:rPr>
              <w:t>RECURSOS DESTINADOS A FINES (GASTOS+INVERSION)</w:t>
            </w:r>
          </w:p>
        </w:tc>
        <w:tc>
          <w:tcPr>
            <w:tcW w:w="1740" w:type="dxa"/>
          </w:tcPr>
          <w:p>
            <w:pPr>
              <w:pStyle w:val="TableParagraph"/>
              <w:spacing w:before="0"/>
              <w:rPr>
                <w:b/>
                <w:sz w:val="16"/>
              </w:rPr>
            </w:pPr>
          </w:p>
          <w:p>
            <w:pPr>
              <w:pStyle w:val="TableParagraph"/>
              <w:spacing w:before="1"/>
              <w:rPr>
                <w:b/>
                <w:sz w:val="13"/>
              </w:rPr>
            </w:pPr>
          </w:p>
          <w:p>
            <w:pPr>
              <w:pStyle w:val="TableParagraph"/>
              <w:spacing w:line="194" w:lineRule="exact" w:before="1"/>
              <w:ind w:left="544" w:right="44" w:hanging="476"/>
              <w:rPr>
                <w:sz w:val="16"/>
              </w:rPr>
            </w:pPr>
            <w:r>
              <w:rPr>
                <w:sz w:val="16"/>
              </w:rPr>
              <w:t>IMPORTE PENDIENTE DE DESTINAR</w:t>
            </w:r>
          </w:p>
        </w:tc>
      </w:tr>
      <w:tr>
        <w:trPr>
          <w:trHeight w:val="299" w:hRule="atLeast"/>
        </w:trPr>
        <w:tc>
          <w:tcPr>
            <w:tcW w:w="3221" w:type="dxa"/>
          </w:tcPr>
          <w:p>
            <w:pPr>
              <w:pStyle w:val="TableParagraph"/>
              <w:spacing w:line="178" w:lineRule="exact" w:before="102"/>
              <w:ind w:left="1082" w:right="1076"/>
              <w:jc w:val="center"/>
              <w:rPr>
                <w:sz w:val="16"/>
              </w:rPr>
            </w:pPr>
            <w:r>
              <w:rPr>
                <w:sz w:val="16"/>
              </w:rPr>
              <w:t>EJERCICIO 2016</w:t>
            </w:r>
          </w:p>
        </w:tc>
        <w:tc>
          <w:tcPr>
            <w:tcW w:w="2340" w:type="dxa"/>
          </w:tcPr>
          <w:p>
            <w:pPr>
              <w:pStyle w:val="TableParagraph"/>
              <w:spacing w:line="178" w:lineRule="exact" w:before="102"/>
              <w:ind w:right="55"/>
              <w:jc w:val="right"/>
              <w:rPr>
                <w:sz w:val="16"/>
              </w:rPr>
            </w:pPr>
            <w:r>
              <w:rPr>
                <w:sz w:val="16"/>
              </w:rPr>
              <w:t>350.102,36</w:t>
            </w:r>
          </w:p>
        </w:tc>
        <w:tc>
          <w:tcPr>
            <w:tcW w:w="1740" w:type="dxa"/>
          </w:tcPr>
          <w:p>
            <w:pPr>
              <w:pStyle w:val="TableParagraph"/>
              <w:spacing w:line="178" w:lineRule="exact" w:before="102"/>
              <w:ind w:right="55"/>
              <w:jc w:val="right"/>
              <w:rPr>
                <w:sz w:val="16"/>
              </w:rPr>
            </w:pPr>
            <w:r>
              <w:rPr>
                <w:sz w:val="16"/>
              </w:rPr>
              <w:t>0,00</w:t>
            </w:r>
          </w:p>
        </w:tc>
      </w:tr>
      <w:tr>
        <w:trPr>
          <w:trHeight w:val="299" w:hRule="atLeast"/>
        </w:trPr>
        <w:tc>
          <w:tcPr>
            <w:tcW w:w="3221" w:type="dxa"/>
          </w:tcPr>
          <w:p>
            <w:pPr>
              <w:pStyle w:val="TableParagraph"/>
              <w:spacing w:line="178" w:lineRule="exact" w:before="102"/>
              <w:ind w:left="1082" w:right="1076"/>
              <w:jc w:val="center"/>
              <w:rPr>
                <w:sz w:val="16"/>
              </w:rPr>
            </w:pPr>
            <w:r>
              <w:rPr>
                <w:sz w:val="16"/>
              </w:rPr>
              <w:t>EJERCICIO 2017</w:t>
            </w:r>
          </w:p>
        </w:tc>
        <w:tc>
          <w:tcPr>
            <w:tcW w:w="2340" w:type="dxa"/>
          </w:tcPr>
          <w:p>
            <w:pPr>
              <w:pStyle w:val="TableParagraph"/>
              <w:spacing w:line="178" w:lineRule="exact" w:before="102"/>
              <w:ind w:right="55"/>
              <w:jc w:val="right"/>
              <w:rPr>
                <w:sz w:val="16"/>
              </w:rPr>
            </w:pPr>
            <w:r>
              <w:rPr>
                <w:sz w:val="16"/>
              </w:rPr>
              <w:t>338.487,62</w:t>
            </w:r>
          </w:p>
        </w:tc>
        <w:tc>
          <w:tcPr>
            <w:tcW w:w="1740" w:type="dxa"/>
          </w:tcPr>
          <w:p>
            <w:pPr>
              <w:pStyle w:val="TableParagraph"/>
              <w:spacing w:line="178" w:lineRule="exact" w:before="102"/>
              <w:ind w:right="55"/>
              <w:jc w:val="right"/>
              <w:rPr>
                <w:sz w:val="16"/>
              </w:rPr>
            </w:pPr>
            <w:r>
              <w:rPr>
                <w:sz w:val="16"/>
              </w:rPr>
              <w:t>0,00</w:t>
            </w:r>
          </w:p>
        </w:tc>
      </w:tr>
      <w:tr>
        <w:trPr>
          <w:trHeight w:val="299" w:hRule="atLeast"/>
        </w:trPr>
        <w:tc>
          <w:tcPr>
            <w:tcW w:w="3221" w:type="dxa"/>
          </w:tcPr>
          <w:p>
            <w:pPr>
              <w:pStyle w:val="TableParagraph"/>
              <w:spacing w:line="175" w:lineRule="exact" w:before="104"/>
              <w:ind w:left="1082" w:right="1076"/>
              <w:jc w:val="center"/>
              <w:rPr>
                <w:sz w:val="16"/>
              </w:rPr>
            </w:pPr>
            <w:r>
              <w:rPr>
                <w:sz w:val="16"/>
              </w:rPr>
              <w:t>EJERCICIO 2018</w:t>
            </w:r>
          </w:p>
        </w:tc>
        <w:tc>
          <w:tcPr>
            <w:tcW w:w="2340" w:type="dxa"/>
          </w:tcPr>
          <w:p>
            <w:pPr>
              <w:pStyle w:val="TableParagraph"/>
              <w:spacing w:line="175" w:lineRule="exact" w:before="104"/>
              <w:ind w:right="55"/>
              <w:jc w:val="right"/>
              <w:rPr>
                <w:sz w:val="16"/>
              </w:rPr>
            </w:pPr>
            <w:r>
              <w:rPr>
                <w:sz w:val="16"/>
              </w:rPr>
              <w:t>351.812,26</w:t>
            </w:r>
          </w:p>
        </w:tc>
        <w:tc>
          <w:tcPr>
            <w:tcW w:w="1740" w:type="dxa"/>
          </w:tcPr>
          <w:p>
            <w:pPr>
              <w:pStyle w:val="TableParagraph"/>
              <w:spacing w:line="175" w:lineRule="exact" w:before="104"/>
              <w:ind w:right="55"/>
              <w:jc w:val="right"/>
              <w:rPr>
                <w:sz w:val="16"/>
              </w:rPr>
            </w:pPr>
            <w:r>
              <w:rPr>
                <w:sz w:val="16"/>
              </w:rPr>
              <w:t>0,00</w:t>
            </w:r>
          </w:p>
        </w:tc>
      </w:tr>
      <w:tr>
        <w:trPr>
          <w:trHeight w:val="299" w:hRule="atLeast"/>
        </w:trPr>
        <w:tc>
          <w:tcPr>
            <w:tcW w:w="3221" w:type="dxa"/>
          </w:tcPr>
          <w:p>
            <w:pPr>
              <w:pStyle w:val="TableParagraph"/>
              <w:spacing w:line="175" w:lineRule="exact" w:before="104"/>
              <w:ind w:left="1082" w:right="1076"/>
              <w:jc w:val="center"/>
              <w:rPr>
                <w:sz w:val="16"/>
              </w:rPr>
            </w:pPr>
            <w:r>
              <w:rPr>
                <w:sz w:val="16"/>
              </w:rPr>
              <w:t>EJERCICIO 2019</w:t>
            </w:r>
          </w:p>
        </w:tc>
        <w:tc>
          <w:tcPr>
            <w:tcW w:w="2340" w:type="dxa"/>
          </w:tcPr>
          <w:p>
            <w:pPr>
              <w:pStyle w:val="TableParagraph"/>
              <w:spacing w:line="175" w:lineRule="exact" w:before="104"/>
              <w:ind w:right="55"/>
              <w:jc w:val="right"/>
              <w:rPr>
                <w:sz w:val="16"/>
              </w:rPr>
            </w:pPr>
            <w:r>
              <w:rPr>
                <w:sz w:val="16"/>
              </w:rPr>
              <w:t>357.126,27</w:t>
            </w:r>
          </w:p>
        </w:tc>
        <w:tc>
          <w:tcPr>
            <w:tcW w:w="1740" w:type="dxa"/>
          </w:tcPr>
          <w:p>
            <w:pPr>
              <w:pStyle w:val="TableParagraph"/>
              <w:spacing w:line="175" w:lineRule="exact" w:before="104"/>
              <w:ind w:right="55"/>
              <w:jc w:val="right"/>
              <w:rPr>
                <w:sz w:val="16"/>
              </w:rPr>
            </w:pPr>
            <w:r>
              <w:rPr>
                <w:sz w:val="16"/>
              </w:rPr>
              <w:t>0,00</w:t>
            </w:r>
          </w:p>
        </w:tc>
      </w:tr>
      <w:tr>
        <w:trPr>
          <w:trHeight w:val="299" w:hRule="atLeast"/>
        </w:trPr>
        <w:tc>
          <w:tcPr>
            <w:tcW w:w="3221" w:type="dxa"/>
          </w:tcPr>
          <w:p>
            <w:pPr>
              <w:pStyle w:val="TableParagraph"/>
              <w:spacing w:line="175" w:lineRule="exact" w:before="104"/>
              <w:ind w:left="1082" w:right="1076"/>
              <w:jc w:val="center"/>
              <w:rPr>
                <w:sz w:val="16"/>
              </w:rPr>
            </w:pPr>
            <w:r>
              <w:rPr>
                <w:sz w:val="16"/>
              </w:rPr>
              <w:t>EJERCICIO 2020</w:t>
            </w:r>
          </w:p>
        </w:tc>
        <w:tc>
          <w:tcPr>
            <w:tcW w:w="2340" w:type="dxa"/>
          </w:tcPr>
          <w:p>
            <w:pPr>
              <w:pStyle w:val="TableParagraph"/>
              <w:spacing w:line="175" w:lineRule="exact" w:before="104"/>
              <w:ind w:right="55"/>
              <w:jc w:val="right"/>
              <w:rPr>
                <w:sz w:val="16"/>
              </w:rPr>
            </w:pPr>
            <w:r>
              <w:rPr>
                <w:sz w:val="16"/>
              </w:rPr>
              <w:t>339.539,41</w:t>
            </w:r>
          </w:p>
        </w:tc>
        <w:tc>
          <w:tcPr>
            <w:tcW w:w="1740" w:type="dxa"/>
          </w:tcPr>
          <w:p>
            <w:pPr>
              <w:pStyle w:val="TableParagraph"/>
              <w:spacing w:line="175" w:lineRule="exact" w:before="104"/>
              <w:ind w:right="55"/>
              <w:jc w:val="right"/>
              <w:rPr>
                <w:sz w:val="16"/>
              </w:rPr>
            </w:pPr>
            <w:r>
              <w:rPr>
                <w:sz w:val="16"/>
              </w:rPr>
              <w:t>0,00</w:t>
            </w:r>
          </w:p>
        </w:tc>
      </w:tr>
      <w:tr>
        <w:trPr>
          <w:trHeight w:val="302" w:hRule="atLeast"/>
        </w:trPr>
        <w:tc>
          <w:tcPr>
            <w:tcW w:w="3221" w:type="dxa"/>
          </w:tcPr>
          <w:p>
            <w:pPr>
              <w:pStyle w:val="TableParagraph"/>
              <w:spacing w:line="178" w:lineRule="exact" w:before="104"/>
              <w:ind w:left="1082" w:right="1076"/>
              <w:jc w:val="center"/>
              <w:rPr>
                <w:sz w:val="16"/>
              </w:rPr>
            </w:pPr>
            <w:r>
              <w:rPr>
                <w:sz w:val="16"/>
              </w:rPr>
              <w:t>EJERCICIO 2021</w:t>
            </w:r>
          </w:p>
        </w:tc>
        <w:tc>
          <w:tcPr>
            <w:tcW w:w="2340" w:type="dxa"/>
          </w:tcPr>
          <w:p>
            <w:pPr>
              <w:pStyle w:val="TableParagraph"/>
              <w:spacing w:line="178" w:lineRule="exact" w:before="104"/>
              <w:ind w:right="55"/>
              <w:jc w:val="right"/>
              <w:rPr>
                <w:sz w:val="16"/>
              </w:rPr>
            </w:pPr>
            <w:r>
              <w:rPr>
                <w:sz w:val="16"/>
              </w:rPr>
              <w:t>354.929,09</w:t>
            </w:r>
          </w:p>
        </w:tc>
        <w:tc>
          <w:tcPr>
            <w:tcW w:w="1740" w:type="dxa"/>
          </w:tcPr>
          <w:p>
            <w:pPr>
              <w:pStyle w:val="TableParagraph"/>
              <w:spacing w:line="178" w:lineRule="exact" w:before="104"/>
              <w:ind w:right="55"/>
              <w:jc w:val="right"/>
              <w:rPr>
                <w:sz w:val="16"/>
              </w:rPr>
            </w:pPr>
            <w:r>
              <w:rPr>
                <w:sz w:val="16"/>
              </w:rPr>
              <w:t>4.082,04</w:t>
            </w:r>
          </w:p>
        </w:tc>
      </w:tr>
      <w:tr>
        <w:trPr>
          <w:trHeight w:val="299" w:hRule="atLeast"/>
        </w:trPr>
        <w:tc>
          <w:tcPr>
            <w:tcW w:w="3221" w:type="dxa"/>
          </w:tcPr>
          <w:p>
            <w:pPr>
              <w:pStyle w:val="TableParagraph"/>
              <w:spacing w:line="178" w:lineRule="exact" w:before="102"/>
              <w:ind w:left="1082" w:right="1076"/>
              <w:jc w:val="center"/>
              <w:rPr>
                <w:sz w:val="16"/>
              </w:rPr>
            </w:pPr>
            <w:r>
              <w:rPr>
                <w:sz w:val="16"/>
              </w:rPr>
              <w:t>EJERCICIO 2022</w:t>
            </w:r>
          </w:p>
        </w:tc>
        <w:tc>
          <w:tcPr>
            <w:tcW w:w="2340" w:type="dxa"/>
          </w:tcPr>
          <w:p>
            <w:pPr>
              <w:pStyle w:val="TableParagraph"/>
              <w:spacing w:line="178" w:lineRule="exact" w:before="102"/>
              <w:ind w:right="55"/>
              <w:jc w:val="right"/>
              <w:rPr>
                <w:sz w:val="16"/>
              </w:rPr>
            </w:pPr>
            <w:r>
              <w:rPr>
                <w:sz w:val="16"/>
              </w:rPr>
              <w:t>350.975,41</w:t>
            </w:r>
          </w:p>
        </w:tc>
        <w:tc>
          <w:tcPr>
            <w:tcW w:w="1740" w:type="dxa"/>
          </w:tcPr>
          <w:p>
            <w:pPr>
              <w:pStyle w:val="TableParagraph"/>
              <w:spacing w:line="178" w:lineRule="exact" w:before="102"/>
              <w:ind w:right="55"/>
              <w:jc w:val="right"/>
              <w:rPr>
                <w:sz w:val="16"/>
              </w:rPr>
            </w:pPr>
            <w:r>
              <w:rPr>
                <w:sz w:val="16"/>
              </w:rPr>
              <w:t>17.368,41</w:t>
            </w:r>
          </w:p>
        </w:tc>
      </w:tr>
      <w:tr>
        <w:trPr>
          <w:trHeight w:val="299" w:hRule="atLeast"/>
        </w:trPr>
        <w:tc>
          <w:tcPr>
            <w:tcW w:w="3221" w:type="dxa"/>
          </w:tcPr>
          <w:p>
            <w:pPr>
              <w:pStyle w:val="TableParagraph"/>
              <w:spacing w:line="178" w:lineRule="exact" w:before="102"/>
              <w:ind w:left="1082" w:right="1076"/>
              <w:jc w:val="center"/>
              <w:rPr>
                <w:sz w:val="16"/>
              </w:rPr>
            </w:pPr>
            <w:r>
              <w:rPr>
                <w:sz w:val="16"/>
              </w:rPr>
              <w:t>EJERCICIO 2023</w:t>
            </w:r>
          </w:p>
        </w:tc>
        <w:tc>
          <w:tcPr>
            <w:tcW w:w="2340" w:type="dxa"/>
          </w:tcPr>
          <w:p>
            <w:pPr>
              <w:pStyle w:val="TableParagraph"/>
              <w:spacing w:line="178" w:lineRule="exact" w:before="102"/>
              <w:ind w:right="55"/>
              <w:jc w:val="right"/>
              <w:rPr>
                <w:sz w:val="16"/>
              </w:rPr>
            </w:pPr>
            <w:r>
              <w:rPr>
                <w:sz w:val="16"/>
              </w:rPr>
              <w:t>386.732,84</w:t>
            </w:r>
          </w:p>
        </w:tc>
        <w:tc>
          <w:tcPr>
            <w:tcW w:w="1740" w:type="dxa"/>
          </w:tcPr>
          <w:p>
            <w:pPr>
              <w:pStyle w:val="TableParagraph"/>
              <w:spacing w:line="178" w:lineRule="exact" w:before="102"/>
              <w:ind w:right="55"/>
              <w:jc w:val="right"/>
              <w:rPr>
                <w:sz w:val="16"/>
              </w:rPr>
            </w:pPr>
            <w:r>
              <w:rPr>
                <w:sz w:val="16"/>
              </w:rPr>
              <w:t>21.313,74</w:t>
            </w:r>
          </w:p>
        </w:tc>
      </w:tr>
      <w:tr>
        <w:trPr>
          <w:trHeight w:val="299" w:hRule="atLeast"/>
        </w:trPr>
        <w:tc>
          <w:tcPr>
            <w:tcW w:w="3221" w:type="dxa"/>
          </w:tcPr>
          <w:p>
            <w:pPr>
              <w:pStyle w:val="TableParagraph"/>
              <w:spacing w:line="175" w:lineRule="exact" w:before="104"/>
              <w:ind w:left="1082" w:right="1076"/>
              <w:jc w:val="center"/>
              <w:rPr>
                <w:sz w:val="16"/>
              </w:rPr>
            </w:pPr>
            <w:r>
              <w:rPr>
                <w:sz w:val="16"/>
              </w:rPr>
              <w:t>EJERCICIO 2024</w:t>
            </w:r>
          </w:p>
        </w:tc>
        <w:tc>
          <w:tcPr>
            <w:tcW w:w="2340" w:type="dxa"/>
          </w:tcPr>
          <w:p>
            <w:pPr>
              <w:pStyle w:val="TableParagraph"/>
              <w:spacing w:line="175" w:lineRule="exact" w:before="104"/>
              <w:ind w:right="55"/>
              <w:jc w:val="right"/>
              <w:rPr>
                <w:sz w:val="16"/>
              </w:rPr>
            </w:pPr>
            <w:r>
              <w:rPr>
                <w:sz w:val="16"/>
              </w:rPr>
              <w:t>402.245,94</w:t>
            </w:r>
          </w:p>
        </w:tc>
        <w:tc>
          <w:tcPr>
            <w:tcW w:w="1740" w:type="dxa"/>
          </w:tcPr>
          <w:p>
            <w:pPr>
              <w:pStyle w:val="TableParagraph"/>
              <w:spacing w:line="175" w:lineRule="exact" w:before="104"/>
              <w:ind w:right="55"/>
              <w:jc w:val="right"/>
              <w:rPr>
                <w:sz w:val="16"/>
              </w:rPr>
            </w:pPr>
            <w:r>
              <w:rPr>
                <w:sz w:val="16"/>
              </w:rPr>
              <w:t>0,00</w:t>
            </w:r>
          </w:p>
        </w:tc>
      </w:tr>
    </w:tbl>
    <w:p>
      <w:pPr>
        <w:pStyle w:val="BodyText"/>
        <w:rPr>
          <w:b/>
          <w:sz w:val="20"/>
        </w:rPr>
      </w:pPr>
    </w:p>
    <w:p>
      <w:pPr>
        <w:pStyle w:val="BodyText"/>
        <w:spacing w:before="6" w:after="1"/>
        <w:rPr>
          <w:b/>
          <w:sz w:val="28"/>
        </w:rPr>
      </w:pPr>
    </w:p>
    <w:tbl>
      <w:tblPr>
        <w:tblW w:w="0" w:type="auto"/>
        <w:jc w:val="left"/>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9"/>
        <w:gridCol w:w="1445"/>
        <w:gridCol w:w="1817"/>
        <w:gridCol w:w="619"/>
        <w:gridCol w:w="1200"/>
      </w:tblGrid>
      <w:tr>
        <w:trPr>
          <w:trHeight w:val="225" w:hRule="atLeast"/>
        </w:trPr>
        <w:tc>
          <w:tcPr>
            <w:tcW w:w="4339" w:type="dxa"/>
          </w:tcPr>
          <w:p>
            <w:pPr>
              <w:pStyle w:val="TableParagraph"/>
              <w:spacing w:before="0"/>
              <w:rPr>
                <w:rFonts w:ascii="Times New Roman"/>
                <w:sz w:val="16"/>
              </w:rPr>
            </w:pPr>
          </w:p>
        </w:tc>
        <w:tc>
          <w:tcPr>
            <w:tcW w:w="3881" w:type="dxa"/>
            <w:gridSpan w:val="3"/>
          </w:tcPr>
          <w:p>
            <w:pPr>
              <w:pStyle w:val="TableParagraph"/>
              <w:spacing w:line="175" w:lineRule="exact" w:before="30"/>
              <w:ind w:left="1615" w:right="1606"/>
              <w:jc w:val="center"/>
              <w:rPr>
                <w:sz w:val="16"/>
              </w:rPr>
            </w:pPr>
            <w:r>
              <w:rPr>
                <w:sz w:val="16"/>
              </w:rPr>
              <w:t>IMPORTE</w:t>
            </w:r>
          </w:p>
        </w:tc>
        <w:tc>
          <w:tcPr>
            <w:tcW w:w="1200" w:type="dxa"/>
          </w:tcPr>
          <w:p>
            <w:pPr>
              <w:pStyle w:val="TableParagraph"/>
              <w:spacing w:line="175" w:lineRule="exact" w:before="30"/>
              <w:ind w:left="388"/>
              <w:rPr>
                <w:sz w:val="16"/>
              </w:rPr>
            </w:pPr>
            <w:r>
              <w:rPr>
                <w:sz w:val="16"/>
              </w:rPr>
              <w:t>TOTAL</w:t>
            </w:r>
          </w:p>
        </w:tc>
      </w:tr>
      <w:tr>
        <w:trPr>
          <w:trHeight w:val="225" w:hRule="atLeast"/>
        </w:trPr>
        <w:tc>
          <w:tcPr>
            <w:tcW w:w="4339" w:type="dxa"/>
          </w:tcPr>
          <w:p>
            <w:pPr>
              <w:pStyle w:val="TableParagraph"/>
              <w:spacing w:line="175" w:lineRule="exact" w:before="30"/>
              <w:ind w:left="69"/>
              <w:rPr>
                <w:sz w:val="16"/>
              </w:rPr>
            </w:pPr>
            <w:r>
              <w:rPr>
                <w:sz w:val="16"/>
              </w:rPr>
              <w:t>1. Gastos en cumplimiento de fines</w:t>
            </w:r>
          </w:p>
        </w:tc>
        <w:tc>
          <w:tcPr>
            <w:tcW w:w="3881" w:type="dxa"/>
            <w:gridSpan w:val="3"/>
          </w:tcPr>
          <w:p>
            <w:pPr>
              <w:pStyle w:val="TableParagraph"/>
              <w:spacing w:before="0"/>
              <w:rPr>
                <w:rFonts w:ascii="Times New Roman"/>
                <w:sz w:val="16"/>
              </w:rPr>
            </w:pPr>
          </w:p>
        </w:tc>
        <w:tc>
          <w:tcPr>
            <w:tcW w:w="1200" w:type="dxa"/>
          </w:tcPr>
          <w:p>
            <w:pPr>
              <w:pStyle w:val="TableParagraph"/>
              <w:spacing w:line="175" w:lineRule="exact" w:before="30"/>
              <w:ind w:right="55"/>
              <w:jc w:val="right"/>
              <w:rPr>
                <w:sz w:val="16"/>
              </w:rPr>
            </w:pPr>
            <w:r>
              <w:rPr>
                <w:sz w:val="16"/>
              </w:rPr>
              <w:t>402.245,94</w:t>
            </w:r>
          </w:p>
        </w:tc>
      </w:tr>
      <w:tr>
        <w:trPr>
          <w:trHeight w:val="556" w:hRule="atLeast"/>
        </w:trPr>
        <w:tc>
          <w:tcPr>
            <w:tcW w:w="4339" w:type="dxa"/>
          </w:tcPr>
          <w:p>
            <w:pPr>
              <w:pStyle w:val="TableParagraph"/>
              <w:spacing w:before="0"/>
              <w:rPr>
                <w:rFonts w:ascii="Times New Roman"/>
                <w:sz w:val="16"/>
              </w:rPr>
            </w:pPr>
          </w:p>
        </w:tc>
        <w:tc>
          <w:tcPr>
            <w:tcW w:w="1445" w:type="dxa"/>
          </w:tcPr>
          <w:p>
            <w:pPr>
              <w:pStyle w:val="TableParagraph"/>
              <w:spacing w:before="0"/>
              <w:rPr>
                <w:b/>
                <w:sz w:val="16"/>
              </w:rPr>
            </w:pPr>
          </w:p>
          <w:p>
            <w:pPr>
              <w:pStyle w:val="TableParagraph"/>
              <w:spacing w:before="4"/>
              <w:rPr>
                <w:b/>
                <w:sz w:val="13"/>
              </w:rPr>
            </w:pPr>
          </w:p>
          <w:p>
            <w:pPr>
              <w:pStyle w:val="TableParagraph"/>
              <w:spacing w:line="178" w:lineRule="exact" w:before="0"/>
              <w:ind w:left="220"/>
              <w:rPr>
                <w:sz w:val="16"/>
              </w:rPr>
            </w:pPr>
            <w:r>
              <w:rPr>
                <w:sz w:val="16"/>
              </w:rPr>
              <w:t>Fondos Propios</w:t>
            </w:r>
          </w:p>
        </w:tc>
        <w:tc>
          <w:tcPr>
            <w:tcW w:w="1817" w:type="dxa"/>
          </w:tcPr>
          <w:p>
            <w:pPr>
              <w:pStyle w:val="TableParagraph"/>
              <w:spacing w:before="2"/>
              <w:rPr>
                <w:b/>
                <w:sz w:val="13"/>
              </w:rPr>
            </w:pPr>
          </w:p>
          <w:p>
            <w:pPr>
              <w:pStyle w:val="TableParagraph"/>
              <w:spacing w:line="194" w:lineRule="exact" w:before="0"/>
              <w:ind w:left="213" w:right="185" w:firstLine="228"/>
              <w:rPr>
                <w:sz w:val="16"/>
              </w:rPr>
            </w:pPr>
            <w:r>
              <w:rPr>
                <w:sz w:val="16"/>
              </w:rPr>
              <w:t>Subvenciones, donaciones y legados</w:t>
            </w:r>
          </w:p>
        </w:tc>
        <w:tc>
          <w:tcPr>
            <w:tcW w:w="619" w:type="dxa"/>
          </w:tcPr>
          <w:p>
            <w:pPr>
              <w:pStyle w:val="TableParagraph"/>
              <w:spacing w:before="0"/>
              <w:rPr>
                <w:b/>
                <w:sz w:val="16"/>
              </w:rPr>
            </w:pPr>
          </w:p>
          <w:p>
            <w:pPr>
              <w:pStyle w:val="TableParagraph"/>
              <w:spacing w:before="4"/>
              <w:rPr>
                <w:b/>
                <w:sz w:val="13"/>
              </w:rPr>
            </w:pPr>
          </w:p>
          <w:p>
            <w:pPr>
              <w:pStyle w:val="TableParagraph"/>
              <w:spacing w:line="178" w:lineRule="exact" w:before="0"/>
              <w:ind w:right="86"/>
              <w:jc w:val="right"/>
              <w:rPr>
                <w:sz w:val="16"/>
              </w:rPr>
            </w:pPr>
            <w:r>
              <w:rPr>
                <w:sz w:val="16"/>
              </w:rPr>
              <w:t>Deuda</w:t>
            </w:r>
          </w:p>
        </w:tc>
        <w:tc>
          <w:tcPr>
            <w:tcW w:w="1200" w:type="dxa"/>
          </w:tcPr>
          <w:p>
            <w:pPr>
              <w:pStyle w:val="TableParagraph"/>
              <w:spacing w:before="0"/>
              <w:rPr>
                <w:rFonts w:ascii="Times New Roman"/>
                <w:sz w:val="16"/>
              </w:rPr>
            </w:pPr>
          </w:p>
        </w:tc>
      </w:tr>
      <w:tr>
        <w:trPr>
          <w:trHeight w:val="222" w:hRule="atLeast"/>
        </w:trPr>
        <w:tc>
          <w:tcPr>
            <w:tcW w:w="4339" w:type="dxa"/>
          </w:tcPr>
          <w:p>
            <w:pPr>
              <w:pStyle w:val="TableParagraph"/>
              <w:spacing w:line="175" w:lineRule="exact" w:before="27"/>
              <w:ind w:left="69"/>
              <w:rPr>
                <w:sz w:val="16"/>
              </w:rPr>
            </w:pPr>
            <w:r>
              <w:rPr>
                <w:sz w:val="16"/>
              </w:rPr>
              <w:t>2. Inversiones en cumplimientos de fines (2.1+2.2)</w:t>
            </w:r>
          </w:p>
        </w:tc>
        <w:tc>
          <w:tcPr>
            <w:tcW w:w="1445" w:type="dxa"/>
          </w:tcPr>
          <w:p>
            <w:pPr>
              <w:pStyle w:val="TableParagraph"/>
              <w:spacing w:line="175" w:lineRule="exact" w:before="27"/>
              <w:ind w:right="57"/>
              <w:jc w:val="right"/>
              <w:rPr>
                <w:sz w:val="16"/>
              </w:rPr>
            </w:pPr>
            <w:r>
              <w:rPr>
                <w:sz w:val="16"/>
              </w:rPr>
              <w:t>0,00</w:t>
            </w:r>
          </w:p>
        </w:tc>
        <w:tc>
          <w:tcPr>
            <w:tcW w:w="1817" w:type="dxa"/>
          </w:tcPr>
          <w:p>
            <w:pPr>
              <w:pStyle w:val="TableParagraph"/>
              <w:spacing w:line="175" w:lineRule="exact" w:before="27"/>
              <w:ind w:right="55"/>
              <w:jc w:val="right"/>
              <w:rPr>
                <w:sz w:val="16"/>
              </w:rPr>
            </w:pPr>
            <w:r>
              <w:rPr>
                <w:sz w:val="16"/>
              </w:rPr>
              <w:t>0,00</w:t>
            </w:r>
          </w:p>
        </w:tc>
        <w:tc>
          <w:tcPr>
            <w:tcW w:w="619" w:type="dxa"/>
          </w:tcPr>
          <w:p>
            <w:pPr>
              <w:pStyle w:val="TableParagraph"/>
              <w:spacing w:line="175" w:lineRule="exact" w:before="27"/>
              <w:ind w:right="55"/>
              <w:jc w:val="right"/>
              <w:rPr>
                <w:sz w:val="16"/>
              </w:rPr>
            </w:pPr>
            <w:r>
              <w:rPr>
                <w:sz w:val="16"/>
              </w:rPr>
              <w:t>0,00</w:t>
            </w:r>
          </w:p>
        </w:tc>
        <w:tc>
          <w:tcPr>
            <w:tcW w:w="1200" w:type="dxa"/>
          </w:tcPr>
          <w:p>
            <w:pPr>
              <w:pStyle w:val="TableParagraph"/>
              <w:spacing w:line="175" w:lineRule="exact" w:before="27"/>
              <w:ind w:right="55"/>
              <w:jc w:val="right"/>
              <w:rPr>
                <w:sz w:val="16"/>
              </w:rPr>
            </w:pPr>
            <w:r>
              <w:rPr>
                <w:sz w:val="16"/>
              </w:rPr>
              <w:t>0,00</w:t>
            </w:r>
          </w:p>
        </w:tc>
      </w:tr>
      <w:tr>
        <w:trPr>
          <w:trHeight w:val="225" w:hRule="atLeast"/>
        </w:trPr>
        <w:tc>
          <w:tcPr>
            <w:tcW w:w="4339" w:type="dxa"/>
          </w:tcPr>
          <w:p>
            <w:pPr>
              <w:pStyle w:val="TableParagraph"/>
              <w:spacing w:line="175" w:lineRule="exact" w:before="30"/>
              <w:ind w:left="69"/>
              <w:rPr>
                <w:sz w:val="16"/>
              </w:rPr>
            </w:pPr>
            <w:r>
              <w:rPr>
                <w:sz w:val="16"/>
              </w:rPr>
              <w:t>2.1 Realizadas en el ejercicio</w:t>
            </w:r>
          </w:p>
        </w:tc>
        <w:tc>
          <w:tcPr>
            <w:tcW w:w="1445" w:type="dxa"/>
          </w:tcPr>
          <w:p>
            <w:pPr>
              <w:pStyle w:val="TableParagraph"/>
              <w:spacing w:line="175" w:lineRule="exact" w:before="30"/>
              <w:ind w:right="57"/>
              <w:jc w:val="right"/>
              <w:rPr>
                <w:sz w:val="16"/>
              </w:rPr>
            </w:pPr>
            <w:r>
              <w:rPr>
                <w:sz w:val="16"/>
              </w:rPr>
              <w:t>0,00</w:t>
            </w:r>
          </w:p>
        </w:tc>
        <w:tc>
          <w:tcPr>
            <w:tcW w:w="1817" w:type="dxa"/>
          </w:tcPr>
          <w:p>
            <w:pPr>
              <w:pStyle w:val="TableParagraph"/>
              <w:spacing w:line="175" w:lineRule="exact" w:before="30"/>
              <w:ind w:right="55"/>
              <w:jc w:val="right"/>
              <w:rPr>
                <w:sz w:val="16"/>
              </w:rPr>
            </w:pPr>
            <w:r>
              <w:rPr>
                <w:sz w:val="16"/>
              </w:rPr>
              <w:t>0,00</w:t>
            </w:r>
          </w:p>
        </w:tc>
        <w:tc>
          <w:tcPr>
            <w:tcW w:w="619" w:type="dxa"/>
          </w:tcPr>
          <w:p>
            <w:pPr>
              <w:pStyle w:val="TableParagraph"/>
              <w:spacing w:line="175" w:lineRule="exact" w:before="30"/>
              <w:ind w:right="55"/>
              <w:jc w:val="right"/>
              <w:rPr>
                <w:sz w:val="16"/>
              </w:rPr>
            </w:pPr>
            <w:r>
              <w:rPr>
                <w:sz w:val="16"/>
              </w:rPr>
              <w:t>0,00</w:t>
            </w:r>
          </w:p>
        </w:tc>
        <w:tc>
          <w:tcPr>
            <w:tcW w:w="1200" w:type="dxa"/>
          </w:tcPr>
          <w:p>
            <w:pPr>
              <w:pStyle w:val="TableParagraph"/>
              <w:spacing w:line="175" w:lineRule="exact" w:before="30"/>
              <w:ind w:right="55"/>
              <w:jc w:val="right"/>
              <w:rPr>
                <w:sz w:val="16"/>
              </w:rPr>
            </w:pPr>
            <w:r>
              <w:rPr>
                <w:sz w:val="16"/>
              </w:rPr>
              <w:t>0,00</w:t>
            </w:r>
          </w:p>
        </w:tc>
      </w:tr>
      <w:tr>
        <w:trPr>
          <w:trHeight w:val="225" w:hRule="atLeast"/>
        </w:trPr>
        <w:tc>
          <w:tcPr>
            <w:tcW w:w="4339" w:type="dxa"/>
          </w:tcPr>
          <w:p>
            <w:pPr>
              <w:pStyle w:val="TableParagraph"/>
              <w:spacing w:line="175" w:lineRule="exact" w:before="30"/>
              <w:ind w:left="69"/>
              <w:rPr>
                <w:sz w:val="16"/>
              </w:rPr>
            </w:pPr>
            <w:r>
              <w:rPr>
                <w:sz w:val="16"/>
              </w:rPr>
              <w:t>2.2 Procedentes de ejercicios anteriores</w:t>
            </w:r>
          </w:p>
        </w:tc>
        <w:tc>
          <w:tcPr>
            <w:tcW w:w="1445" w:type="dxa"/>
          </w:tcPr>
          <w:p>
            <w:pPr>
              <w:pStyle w:val="TableParagraph"/>
              <w:spacing w:line="175" w:lineRule="exact" w:before="30"/>
              <w:ind w:right="57"/>
              <w:jc w:val="right"/>
              <w:rPr>
                <w:sz w:val="16"/>
              </w:rPr>
            </w:pPr>
            <w:r>
              <w:rPr>
                <w:sz w:val="16"/>
              </w:rPr>
              <w:t>0,00</w:t>
            </w:r>
          </w:p>
        </w:tc>
        <w:tc>
          <w:tcPr>
            <w:tcW w:w="1817" w:type="dxa"/>
          </w:tcPr>
          <w:p>
            <w:pPr>
              <w:pStyle w:val="TableParagraph"/>
              <w:spacing w:line="175" w:lineRule="exact" w:before="30"/>
              <w:ind w:right="55"/>
              <w:jc w:val="right"/>
              <w:rPr>
                <w:sz w:val="16"/>
              </w:rPr>
            </w:pPr>
            <w:r>
              <w:rPr>
                <w:sz w:val="16"/>
              </w:rPr>
              <w:t>0,00</w:t>
            </w:r>
          </w:p>
        </w:tc>
        <w:tc>
          <w:tcPr>
            <w:tcW w:w="619" w:type="dxa"/>
          </w:tcPr>
          <w:p>
            <w:pPr>
              <w:pStyle w:val="TableParagraph"/>
              <w:spacing w:line="175" w:lineRule="exact" w:before="30"/>
              <w:ind w:right="55"/>
              <w:jc w:val="right"/>
              <w:rPr>
                <w:sz w:val="16"/>
              </w:rPr>
            </w:pPr>
            <w:r>
              <w:rPr>
                <w:sz w:val="16"/>
              </w:rPr>
              <w:t>0,00</w:t>
            </w:r>
          </w:p>
        </w:tc>
        <w:tc>
          <w:tcPr>
            <w:tcW w:w="1200" w:type="dxa"/>
          </w:tcPr>
          <w:p>
            <w:pPr>
              <w:pStyle w:val="TableParagraph"/>
              <w:spacing w:line="175" w:lineRule="exact" w:before="30"/>
              <w:ind w:right="55"/>
              <w:jc w:val="right"/>
              <w:rPr>
                <w:sz w:val="16"/>
              </w:rPr>
            </w:pPr>
            <w:r>
              <w:rPr>
                <w:sz w:val="16"/>
              </w:rPr>
              <w:t>0,00</w:t>
            </w:r>
          </w:p>
        </w:tc>
      </w:tr>
      <w:tr>
        <w:trPr>
          <w:trHeight w:val="450" w:hRule="atLeast"/>
        </w:trPr>
        <w:tc>
          <w:tcPr>
            <w:tcW w:w="4339" w:type="dxa"/>
          </w:tcPr>
          <w:p>
            <w:pPr>
              <w:pStyle w:val="TableParagraph"/>
              <w:spacing w:line="190" w:lineRule="atLeast" w:before="58"/>
              <w:ind w:left="69"/>
              <w:rPr>
                <w:sz w:val="16"/>
              </w:rPr>
            </w:pPr>
            <w:r>
              <w:rPr>
                <w:sz w:val="16"/>
              </w:rPr>
              <w:t>a) Deudas canceladas en el ejercicio incurridas en ejercicios anteriores</w:t>
            </w:r>
          </w:p>
        </w:tc>
        <w:tc>
          <w:tcPr>
            <w:tcW w:w="1445" w:type="dxa"/>
          </w:tcPr>
          <w:p>
            <w:pPr>
              <w:pStyle w:val="TableParagraph"/>
              <w:spacing w:before="11"/>
              <w:rPr>
                <w:b/>
                <w:sz w:val="20"/>
              </w:rPr>
            </w:pPr>
          </w:p>
          <w:p>
            <w:pPr>
              <w:pStyle w:val="TableParagraph"/>
              <w:spacing w:line="175" w:lineRule="exact" w:before="0"/>
              <w:ind w:right="57"/>
              <w:jc w:val="right"/>
              <w:rPr>
                <w:sz w:val="16"/>
              </w:rPr>
            </w:pPr>
            <w:r>
              <w:rPr>
                <w:sz w:val="16"/>
              </w:rPr>
              <w:t>0,00</w:t>
            </w:r>
          </w:p>
        </w:tc>
        <w:tc>
          <w:tcPr>
            <w:tcW w:w="1817" w:type="dxa"/>
          </w:tcPr>
          <w:p>
            <w:pPr>
              <w:pStyle w:val="TableParagraph"/>
              <w:spacing w:before="11"/>
              <w:rPr>
                <w:b/>
                <w:sz w:val="20"/>
              </w:rPr>
            </w:pPr>
          </w:p>
          <w:p>
            <w:pPr>
              <w:pStyle w:val="TableParagraph"/>
              <w:spacing w:line="175" w:lineRule="exact" w:before="0"/>
              <w:ind w:right="55"/>
              <w:jc w:val="right"/>
              <w:rPr>
                <w:sz w:val="16"/>
              </w:rPr>
            </w:pPr>
            <w:r>
              <w:rPr>
                <w:sz w:val="16"/>
              </w:rPr>
              <w:t>0,00</w:t>
            </w:r>
          </w:p>
        </w:tc>
        <w:tc>
          <w:tcPr>
            <w:tcW w:w="619" w:type="dxa"/>
          </w:tcPr>
          <w:p>
            <w:pPr>
              <w:pStyle w:val="TableParagraph"/>
              <w:spacing w:before="11"/>
              <w:rPr>
                <w:b/>
                <w:sz w:val="20"/>
              </w:rPr>
            </w:pPr>
          </w:p>
          <w:p>
            <w:pPr>
              <w:pStyle w:val="TableParagraph"/>
              <w:spacing w:line="175" w:lineRule="exact" w:before="0"/>
              <w:ind w:right="55"/>
              <w:jc w:val="right"/>
              <w:rPr>
                <w:sz w:val="16"/>
              </w:rPr>
            </w:pPr>
            <w:r>
              <w:rPr>
                <w:sz w:val="16"/>
              </w:rPr>
              <w:t>0,00</w:t>
            </w:r>
          </w:p>
        </w:tc>
        <w:tc>
          <w:tcPr>
            <w:tcW w:w="1200" w:type="dxa"/>
          </w:tcPr>
          <w:p>
            <w:pPr>
              <w:pStyle w:val="TableParagraph"/>
              <w:spacing w:before="11"/>
              <w:rPr>
                <w:b/>
                <w:sz w:val="20"/>
              </w:rPr>
            </w:pPr>
          </w:p>
          <w:p>
            <w:pPr>
              <w:pStyle w:val="TableParagraph"/>
              <w:spacing w:line="175" w:lineRule="exact" w:before="0"/>
              <w:ind w:right="55"/>
              <w:jc w:val="right"/>
              <w:rPr>
                <w:sz w:val="16"/>
              </w:rPr>
            </w:pPr>
            <w:r>
              <w:rPr>
                <w:sz w:val="16"/>
              </w:rPr>
              <w:t>0,00</w:t>
            </w:r>
          </w:p>
        </w:tc>
      </w:tr>
      <w:tr>
        <w:trPr>
          <w:trHeight w:val="450" w:hRule="atLeast"/>
        </w:trPr>
        <w:tc>
          <w:tcPr>
            <w:tcW w:w="4339" w:type="dxa"/>
          </w:tcPr>
          <w:p>
            <w:pPr>
              <w:pStyle w:val="TableParagraph"/>
              <w:spacing w:line="194" w:lineRule="exact" w:before="55"/>
              <w:ind w:left="69" w:right="81"/>
              <w:rPr>
                <w:sz w:val="16"/>
              </w:rPr>
            </w:pPr>
            <w:r>
              <w:rPr>
                <w:sz w:val="16"/>
              </w:rPr>
              <w:t>b) Imputacion de subvenciones, donaciones y legados de capital procedentes de ejercicios anteriores</w:t>
            </w:r>
          </w:p>
        </w:tc>
        <w:tc>
          <w:tcPr>
            <w:tcW w:w="1445" w:type="dxa"/>
          </w:tcPr>
          <w:p>
            <w:pPr>
              <w:pStyle w:val="TableParagraph"/>
              <w:rPr>
                <w:b/>
                <w:sz w:val="20"/>
              </w:rPr>
            </w:pPr>
          </w:p>
          <w:p>
            <w:pPr>
              <w:pStyle w:val="TableParagraph"/>
              <w:spacing w:line="178" w:lineRule="exact" w:before="1"/>
              <w:ind w:right="57"/>
              <w:jc w:val="right"/>
              <w:rPr>
                <w:sz w:val="16"/>
              </w:rPr>
            </w:pPr>
            <w:r>
              <w:rPr>
                <w:sz w:val="16"/>
              </w:rPr>
              <w:t>0,00</w:t>
            </w:r>
          </w:p>
        </w:tc>
        <w:tc>
          <w:tcPr>
            <w:tcW w:w="1817" w:type="dxa"/>
          </w:tcPr>
          <w:p>
            <w:pPr>
              <w:pStyle w:val="TableParagraph"/>
              <w:rPr>
                <w:b/>
                <w:sz w:val="20"/>
              </w:rPr>
            </w:pPr>
          </w:p>
          <w:p>
            <w:pPr>
              <w:pStyle w:val="TableParagraph"/>
              <w:spacing w:line="178" w:lineRule="exact" w:before="1"/>
              <w:ind w:right="55"/>
              <w:jc w:val="right"/>
              <w:rPr>
                <w:sz w:val="16"/>
              </w:rPr>
            </w:pPr>
            <w:r>
              <w:rPr>
                <w:sz w:val="16"/>
              </w:rPr>
              <w:t>0,00</w:t>
            </w:r>
          </w:p>
        </w:tc>
        <w:tc>
          <w:tcPr>
            <w:tcW w:w="619" w:type="dxa"/>
          </w:tcPr>
          <w:p>
            <w:pPr>
              <w:pStyle w:val="TableParagraph"/>
              <w:rPr>
                <w:b/>
                <w:sz w:val="20"/>
              </w:rPr>
            </w:pPr>
          </w:p>
          <w:p>
            <w:pPr>
              <w:pStyle w:val="TableParagraph"/>
              <w:spacing w:line="178" w:lineRule="exact" w:before="1"/>
              <w:ind w:right="55"/>
              <w:jc w:val="right"/>
              <w:rPr>
                <w:sz w:val="16"/>
              </w:rPr>
            </w:pPr>
            <w:r>
              <w:rPr>
                <w:sz w:val="16"/>
              </w:rPr>
              <w:t>0,00</w:t>
            </w:r>
          </w:p>
        </w:tc>
        <w:tc>
          <w:tcPr>
            <w:tcW w:w="1200" w:type="dxa"/>
          </w:tcPr>
          <w:p>
            <w:pPr>
              <w:pStyle w:val="TableParagraph"/>
              <w:rPr>
                <w:b/>
                <w:sz w:val="20"/>
              </w:rPr>
            </w:pPr>
          </w:p>
          <w:p>
            <w:pPr>
              <w:pStyle w:val="TableParagraph"/>
              <w:spacing w:line="178" w:lineRule="exact" w:before="1"/>
              <w:ind w:right="55"/>
              <w:jc w:val="right"/>
              <w:rPr>
                <w:sz w:val="16"/>
              </w:rPr>
            </w:pPr>
            <w:r>
              <w:rPr>
                <w:sz w:val="16"/>
              </w:rPr>
              <w:t>0,00</w:t>
            </w:r>
          </w:p>
        </w:tc>
      </w:tr>
      <w:tr>
        <w:trPr>
          <w:trHeight w:val="225" w:hRule="atLeast"/>
        </w:trPr>
        <w:tc>
          <w:tcPr>
            <w:tcW w:w="4339" w:type="dxa"/>
          </w:tcPr>
          <w:p>
            <w:pPr>
              <w:pStyle w:val="TableParagraph"/>
              <w:spacing w:line="178" w:lineRule="exact" w:before="27"/>
              <w:ind w:left="1752" w:right="1740"/>
              <w:jc w:val="center"/>
              <w:rPr>
                <w:sz w:val="16"/>
              </w:rPr>
            </w:pPr>
            <w:r>
              <w:rPr>
                <w:sz w:val="16"/>
              </w:rPr>
              <w:t>TOTAL (1+2)</w:t>
            </w:r>
          </w:p>
        </w:tc>
        <w:tc>
          <w:tcPr>
            <w:tcW w:w="3881" w:type="dxa"/>
            <w:gridSpan w:val="3"/>
          </w:tcPr>
          <w:p>
            <w:pPr>
              <w:pStyle w:val="TableParagraph"/>
              <w:spacing w:line="178" w:lineRule="exact" w:before="27"/>
              <w:ind w:left="1615" w:right="1606"/>
              <w:jc w:val="center"/>
              <w:rPr>
                <w:sz w:val="16"/>
              </w:rPr>
            </w:pPr>
            <w:r>
              <w:rPr>
                <w:sz w:val="16"/>
              </w:rPr>
              <w:t>0,00</w:t>
            </w:r>
          </w:p>
        </w:tc>
        <w:tc>
          <w:tcPr>
            <w:tcW w:w="1200" w:type="dxa"/>
          </w:tcPr>
          <w:p>
            <w:pPr>
              <w:pStyle w:val="TableParagraph"/>
              <w:spacing w:line="178" w:lineRule="exact" w:before="27"/>
              <w:ind w:right="55"/>
              <w:jc w:val="right"/>
              <w:rPr>
                <w:sz w:val="16"/>
              </w:rPr>
            </w:pPr>
            <w:r>
              <w:rPr>
                <w:sz w:val="16"/>
              </w:rPr>
              <w:t>402.245,94</w:t>
            </w:r>
          </w:p>
        </w:tc>
      </w:tr>
    </w:tbl>
    <w:p>
      <w:pPr>
        <w:spacing w:after="0" w:line="178" w:lineRule="exact"/>
        <w:jc w:val="right"/>
        <w:rPr>
          <w:sz w:val="16"/>
        </w:rPr>
        <w:sectPr>
          <w:pgSz w:w="11900" w:h="16840"/>
          <w:pgMar w:header="739" w:footer="767" w:top="1600" w:bottom="960" w:left="1580" w:right="660"/>
        </w:sectPr>
      </w:pPr>
    </w:p>
    <w:p>
      <w:pPr>
        <w:pStyle w:val="BodyText"/>
        <w:rPr>
          <w:b/>
          <w:sz w:val="20"/>
        </w:rPr>
      </w:pPr>
    </w:p>
    <w:p>
      <w:pPr>
        <w:pStyle w:val="BodyText"/>
        <w:rPr>
          <w:b/>
          <w:sz w:val="20"/>
        </w:rPr>
      </w:pPr>
    </w:p>
    <w:p>
      <w:pPr>
        <w:pStyle w:val="BodyText"/>
        <w:rPr>
          <w:b/>
          <w:sz w:val="28"/>
        </w:rPr>
      </w:pPr>
    </w:p>
    <w:p>
      <w:pPr>
        <w:pStyle w:val="Heading1"/>
        <w:numPr>
          <w:ilvl w:val="1"/>
          <w:numId w:val="19"/>
        </w:numPr>
        <w:tabs>
          <w:tab w:pos="842" w:val="left" w:leader="none"/>
        </w:tabs>
        <w:spacing w:line="240" w:lineRule="auto" w:before="44" w:after="0"/>
        <w:ind w:left="841" w:right="0" w:hanging="361"/>
        <w:jc w:val="left"/>
      </w:pPr>
      <w:r>
        <w:rPr/>
        <w:t>Gastos de</w:t>
      </w:r>
      <w:r>
        <w:rPr>
          <w:spacing w:val="-2"/>
        </w:rPr>
        <w:t> </w:t>
      </w:r>
      <w:r>
        <w:rPr/>
        <w:t>administración.</w:t>
      </w:r>
    </w:p>
    <w:p>
      <w:pPr>
        <w:pStyle w:val="BodyText"/>
        <w:spacing w:before="250"/>
        <w:ind w:left="121"/>
        <w:jc w:val="both"/>
      </w:pPr>
      <w:r>
        <w:rPr/>
        <w:t>La Fundación no ha tenido gastos de Administración.</w:t>
      </w:r>
    </w:p>
    <w:p>
      <w:pPr>
        <w:pStyle w:val="BodyText"/>
        <w:spacing w:before="2"/>
      </w:pPr>
    </w:p>
    <w:p>
      <w:pPr>
        <w:pStyle w:val="Heading1"/>
        <w:numPr>
          <w:ilvl w:val="0"/>
          <w:numId w:val="20"/>
        </w:numPr>
        <w:tabs>
          <w:tab w:pos="542" w:val="left" w:leader="none"/>
        </w:tabs>
        <w:spacing w:line="240" w:lineRule="auto" w:before="1" w:after="0"/>
        <w:ind w:left="541" w:right="0" w:hanging="421"/>
        <w:jc w:val="left"/>
      </w:pPr>
      <w:r>
        <w:rPr/>
        <w:t>OPERACIONES CON PARTES</w:t>
      </w:r>
      <w:r>
        <w:rPr>
          <w:spacing w:val="-7"/>
        </w:rPr>
        <w:t> </w:t>
      </w:r>
      <w:r>
        <w:rPr/>
        <w:t>VINCULADAS.</w:t>
      </w:r>
    </w:p>
    <w:p>
      <w:pPr>
        <w:pStyle w:val="BodyText"/>
        <w:spacing w:before="8"/>
        <w:rPr>
          <w:b/>
          <w:sz w:val="20"/>
        </w:rPr>
      </w:pPr>
    </w:p>
    <w:p>
      <w:pPr>
        <w:pStyle w:val="BodyText"/>
        <w:spacing w:line="276" w:lineRule="auto"/>
        <w:ind w:left="121" w:right="1031"/>
        <w:jc w:val="both"/>
      </w:pPr>
      <w:r>
        <w:rPr/>
        <w:t>Las operaciones con partes vinculadas corresponden a subvenciones a la explotación por los fundadores de la Fundación. Los importes totales de las subvenciones recibidas en el ejercicio 2024 son los</w:t>
      </w:r>
      <w:r>
        <w:rPr>
          <w:spacing w:val="-22"/>
        </w:rPr>
        <w:t> </w:t>
      </w:r>
      <w:r>
        <w:rPr/>
        <w:t>siguientes:</w:t>
      </w:r>
    </w:p>
    <w:p>
      <w:pPr>
        <w:pStyle w:val="BodyText"/>
        <w:spacing w:before="4"/>
        <w:rPr>
          <w:sz w:val="16"/>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99"/>
        <w:gridCol w:w="1301"/>
        <w:gridCol w:w="1479"/>
        <w:gridCol w:w="1721"/>
        <w:gridCol w:w="1200"/>
      </w:tblGrid>
      <w:tr>
        <w:trPr>
          <w:trHeight w:val="256" w:hRule="atLeast"/>
        </w:trPr>
        <w:tc>
          <w:tcPr>
            <w:tcW w:w="2899" w:type="dxa"/>
          </w:tcPr>
          <w:p>
            <w:pPr>
              <w:pStyle w:val="TableParagraph"/>
              <w:spacing w:before="0"/>
              <w:rPr>
                <w:rFonts w:ascii="Times New Roman"/>
                <w:sz w:val="18"/>
              </w:rPr>
            </w:pPr>
          </w:p>
        </w:tc>
        <w:tc>
          <w:tcPr>
            <w:tcW w:w="1301" w:type="dxa"/>
          </w:tcPr>
          <w:p>
            <w:pPr>
              <w:pStyle w:val="TableParagraph"/>
              <w:spacing w:line="178" w:lineRule="exact" w:before="58"/>
              <w:ind w:right="93"/>
              <w:jc w:val="right"/>
              <w:rPr>
                <w:sz w:val="16"/>
              </w:rPr>
            </w:pPr>
            <w:r>
              <w:rPr>
                <w:sz w:val="16"/>
              </w:rPr>
              <w:t>Actividad música</w:t>
            </w:r>
          </w:p>
        </w:tc>
        <w:tc>
          <w:tcPr>
            <w:tcW w:w="1479" w:type="dxa"/>
          </w:tcPr>
          <w:p>
            <w:pPr>
              <w:pStyle w:val="TableParagraph"/>
              <w:spacing w:line="178" w:lineRule="exact" w:before="58"/>
              <w:ind w:right="89"/>
              <w:jc w:val="right"/>
              <w:rPr>
                <w:sz w:val="16"/>
              </w:rPr>
            </w:pPr>
            <w:r>
              <w:rPr>
                <w:sz w:val="16"/>
              </w:rPr>
              <w:t>Actividad biblioteca</w:t>
            </w:r>
          </w:p>
        </w:tc>
        <w:tc>
          <w:tcPr>
            <w:tcW w:w="1721" w:type="dxa"/>
          </w:tcPr>
          <w:p>
            <w:pPr>
              <w:pStyle w:val="TableParagraph"/>
              <w:spacing w:line="178" w:lineRule="exact" w:before="58"/>
              <w:ind w:left="104"/>
              <w:rPr>
                <w:sz w:val="16"/>
              </w:rPr>
            </w:pPr>
            <w:r>
              <w:rPr>
                <w:sz w:val="16"/>
              </w:rPr>
              <w:t>Gastos funcionamiento</w:t>
            </w:r>
          </w:p>
        </w:tc>
        <w:tc>
          <w:tcPr>
            <w:tcW w:w="1200" w:type="dxa"/>
          </w:tcPr>
          <w:p>
            <w:pPr>
              <w:pStyle w:val="TableParagraph"/>
              <w:spacing w:line="178" w:lineRule="exact" w:before="58"/>
              <w:ind w:left="387"/>
              <w:rPr>
                <w:sz w:val="16"/>
              </w:rPr>
            </w:pPr>
            <w:r>
              <w:rPr>
                <w:sz w:val="16"/>
              </w:rPr>
              <w:t>TOTAL</w:t>
            </w:r>
          </w:p>
        </w:tc>
      </w:tr>
      <w:tr>
        <w:trPr>
          <w:trHeight w:val="222" w:hRule="atLeast"/>
        </w:trPr>
        <w:tc>
          <w:tcPr>
            <w:tcW w:w="2899" w:type="dxa"/>
            <w:vMerge w:val="restart"/>
          </w:tcPr>
          <w:p>
            <w:pPr>
              <w:pStyle w:val="TableParagraph"/>
              <w:spacing w:before="27"/>
              <w:ind w:left="69"/>
              <w:rPr>
                <w:sz w:val="16"/>
              </w:rPr>
            </w:pPr>
            <w:r>
              <w:rPr>
                <w:sz w:val="16"/>
              </w:rPr>
              <w:t>Ayuntamiento de Los Realejos</w:t>
            </w:r>
          </w:p>
          <w:p>
            <w:pPr>
              <w:pStyle w:val="TableParagraph"/>
              <w:spacing w:line="178" w:lineRule="exact" w:before="54"/>
              <w:ind w:left="69"/>
              <w:rPr>
                <w:sz w:val="16"/>
              </w:rPr>
            </w:pPr>
            <w:r>
              <w:rPr>
                <w:sz w:val="16"/>
              </w:rPr>
              <w:t>Ayuntamiento de Icod de Los Vinos</w:t>
            </w:r>
          </w:p>
        </w:tc>
        <w:tc>
          <w:tcPr>
            <w:tcW w:w="1301" w:type="dxa"/>
          </w:tcPr>
          <w:p>
            <w:pPr>
              <w:pStyle w:val="TableParagraph"/>
              <w:spacing w:line="175" w:lineRule="exact" w:before="27"/>
              <w:ind w:right="57"/>
              <w:jc w:val="right"/>
              <w:rPr>
                <w:sz w:val="16"/>
              </w:rPr>
            </w:pPr>
            <w:r>
              <w:rPr>
                <w:sz w:val="16"/>
              </w:rPr>
              <w:t>110.353,18</w:t>
            </w:r>
          </w:p>
        </w:tc>
        <w:tc>
          <w:tcPr>
            <w:tcW w:w="1479" w:type="dxa"/>
          </w:tcPr>
          <w:p>
            <w:pPr>
              <w:pStyle w:val="TableParagraph"/>
              <w:spacing w:line="175" w:lineRule="exact" w:before="27"/>
              <w:ind w:right="56"/>
              <w:jc w:val="right"/>
              <w:rPr>
                <w:sz w:val="16"/>
              </w:rPr>
            </w:pPr>
            <w:r>
              <w:rPr>
                <w:sz w:val="16"/>
              </w:rPr>
              <w:t>44.137,50</w:t>
            </w:r>
          </w:p>
        </w:tc>
        <w:tc>
          <w:tcPr>
            <w:tcW w:w="1721" w:type="dxa"/>
          </w:tcPr>
          <w:p>
            <w:pPr>
              <w:pStyle w:val="TableParagraph"/>
              <w:spacing w:before="0"/>
              <w:rPr>
                <w:rFonts w:ascii="Times New Roman"/>
                <w:sz w:val="14"/>
              </w:rPr>
            </w:pPr>
          </w:p>
        </w:tc>
        <w:tc>
          <w:tcPr>
            <w:tcW w:w="1200" w:type="dxa"/>
          </w:tcPr>
          <w:p>
            <w:pPr>
              <w:pStyle w:val="TableParagraph"/>
              <w:spacing w:line="175" w:lineRule="exact" w:before="27"/>
              <w:ind w:right="56"/>
              <w:jc w:val="right"/>
              <w:rPr>
                <w:sz w:val="16"/>
              </w:rPr>
            </w:pPr>
            <w:r>
              <w:rPr>
                <w:sz w:val="16"/>
              </w:rPr>
              <w:t>154.490,88</w:t>
            </w:r>
          </w:p>
        </w:tc>
      </w:tr>
      <w:tr>
        <w:trPr>
          <w:trHeight w:val="242" w:hRule="atLeast"/>
        </w:trPr>
        <w:tc>
          <w:tcPr>
            <w:tcW w:w="2899" w:type="dxa"/>
            <w:vMerge/>
            <w:tcBorders>
              <w:top w:val="nil"/>
            </w:tcBorders>
          </w:tcPr>
          <w:p>
            <w:pPr>
              <w:rPr>
                <w:sz w:val="2"/>
                <w:szCs w:val="2"/>
              </w:rPr>
            </w:pPr>
          </w:p>
        </w:tc>
        <w:tc>
          <w:tcPr>
            <w:tcW w:w="1301" w:type="dxa"/>
          </w:tcPr>
          <w:p>
            <w:pPr>
              <w:pStyle w:val="TableParagraph"/>
              <w:spacing w:line="178" w:lineRule="exact" w:before="44"/>
              <w:ind w:right="57"/>
              <w:jc w:val="right"/>
              <w:rPr>
                <w:sz w:val="16"/>
              </w:rPr>
            </w:pPr>
            <w:r>
              <w:rPr>
                <w:sz w:val="16"/>
              </w:rPr>
              <w:t>76.951,36</w:t>
            </w:r>
          </w:p>
        </w:tc>
        <w:tc>
          <w:tcPr>
            <w:tcW w:w="1479" w:type="dxa"/>
          </w:tcPr>
          <w:p>
            <w:pPr>
              <w:pStyle w:val="TableParagraph"/>
              <w:spacing w:before="0"/>
              <w:rPr>
                <w:rFonts w:ascii="Times New Roman"/>
                <w:sz w:val="16"/>
              </w:rPr>
            </w:pPr>
          </w:p>
        </w:tc>
        <w:tc>
          <w:tcPr>
            <w:tcW w:w="1721" w:type="dxa"/>
          </w:tcPr>
          <w:p>
            <w:pPr>
              <w:pStyle w:val="TableParagraph"/>
              <w:spacing w:before="0"/>
              <w:rPr>
                <w:rFonts w:ascii="Times New Roman"/>
                <w:sz w:val="16"/>
              </w:rPr>
            </w:pPr>
          </w:p>
        </w:tc>
        <w:tc>
          <w:tcPr>
            <w:tcW w:w="1200" w:type="dxa"/>
          </w:tcPr>
          <w:p>
            <w:pPr>
              <w:pStyle w:val="TableParagraph"/>
              <w:spacing w:line="178" w:lineRule="exact" w:before="44"/>
              <w:ind w:right="56"/>
              <w:jc w:val="right"/>
              <w:rPr>
                <w:sz w:val="16"/>
              </w:rPr>
            </w:pPr>
            <w:r>
              <w:rPr>
                <w:sz w:val="16"/>
              </w:rPr>
              <w:t>76.951,36</w:t>
            </w:r>
          </w:p>
        </w:tc>
      </w:tr>
      <w:tr>
        <w:trPr>
          <w:trHeight w:val="254" w:hRule="atLeast"/>
        </w:trPr>
        <w:tc>
          <w:tcPr>
            <w:tcW w:w="7400" w:type="dxa"/>
            <w:gridSpan w:val="4"/>
            <w:tcBorders>
              <w:left w:val="nil"/>
              <w:bottom w:val="nil"/>
            </w:tcBorders>
          </w:tcPr>
          <w:p>
            <w:pPr>
              <w:pStyle w:val="TableParagraph"/>
              <w:spacing w:before="0"/>
              <w:rPr>
                <w:rFonts w:ascii="Times New Roman"/>
                <w:sz w:val="18"/>
              </w:rPr>
            </w:pPr>
          </w:p>
        </w:tc>
        <w:tc>
          <w:tcPr>
            <w:tcW w:w="1200" w:type="dxa"/>
          </w:tcPr>
          <w:p>
            <w:pPr>
              <w:pStyle w:val="TableParagraph"/>
              <w:spacing w:line="175" w:lineRule="exact" w:before="58"/>
              <w:ind w:right="56"/>
              <w:jc w:val="right"/>
              <w:rPr>
                <w:sz w:val="16"/>
              </w:rPr>
            </w:pPr>
            <w:r>
              <w:rPr>
                <w:sz w:val="16"/>
              </w:rPr>
              <w:t>231.442,24</w:t>
            </w:r>
          </w:p>
        </w:tc>
      </w:tr>
    </w:tbl>
    <w:p>
      <w:pPr>
        <w:pStyle w:val="BodyText"/>
        <w:rPr>
          <w:sz w:val="18"/>
        </w:rPr>
      </w:pPr>
    </w:p>
    <w:p>
      <w:pPr>
        <w:pStyle w:val="BodyText"/>
        <w:spacing w:before="3"/>
        <w:rPr>
          <w:sz w:val="20"/>
        </w:rPr>
      </w:pPr>
    </w:p>
    <w:p>
      <w:pPr>
        <w:pStyle w:val="BodyText"/>
        <w:ind w:left="164"/>
        <w:jc w:val="both"/>
      </w:pPr>
      <w:r>
        <w:rPr/>
        <w:t>Los</w:t>
      </w:r>
      <w:r>
        <w:rPr>
          <w:spacing w:val="-4"/>
        </w:rPr>
        <w:t> </w:t>
      </w:r>
      <w:r>
        <w:rPr/>
        <w:t>importes</w:t>
      </w:r>
      <w:r>
        <w:rPr>
          <w:spacing w:val="-5"/>
        </w:rPr>
        <w:t> </w:t>
      </w:r>
      <w:r>
        <w:rPr/>
        <w:t>totales</w:t>
      </w:r>
      <w:r>
        <w:rPr>
          <w:spacing w:val="-3"/>
        </w:rPr>
        <w:t> </w:t>
      </w:r>
      <w:r>
        <w:rPr/>
        <w:t>de</w:t>
      </w:r>
      <w:r>
        <w:rPr>
          <w:spacing w:val="-3"/>
        </w:rPr>
        <w:t> </w:t>
      </w:r>
      <w:r>
        <w:rPr/>
        <w:t>las</w:t>
      </w:r>
      <w:r>
        <w:rPr>
          <w:spacing w:val="-4"/>
        </w:rPr>
        <w:t> </w:t>
      </w:r>
      <w:r>
        <w:rPr/>
        <w:t>subvenciones</w:t>
      </w:r>
      <w:r>
        <w:rPr>
          <w:spacing w:val="-3"/>
        </w:rPr>
        <w:t> </w:t>
      </w:r>
      <w:r>
        <w:rPr/>
        <w:t>concedidas</w:t>
      </w:r>
      <w:r>
        <w:rPr>
          <w:spacing w:val="-3"/>
        </w:rPr>
        <w:t> </w:t>
      </w:r>
      <w:r>
        <w:rPr/>
        <w:t>en</w:t>
      </w:r>
      <w:r>
        <w:rPr>
          <w:spacing w:val="-2"/>
        </w:rPr>
        <w:t> </w:t>
      </w:r>
      <w:r>
        <w:rPr/>
        <w:t>el</w:t>
      </w:r>
      <w:r>
        <w:rPr>
          <w:spacing w:val="-4"/>
        </w:rPr>
        <w:t> </w:t>
      </w:r>
      <w:r>
        <w:rPr/>
        <w:t>ejercicio</w:t>
      </w:r>
      <w:r>
        <w:rPr>
          <w:spacing w:val="-2"/>
        </w:rPr>
        <w:t> </w:t>
      </w:r>
      <w:r>
        <w:rPr/>
        <w:t>anterior</w:t>
      </w:r>
      <w:r>
        <w:rPr>
          <w:spacing w:val="-2"/>
        </w:rPr>
        <w:t> </w:t>
      </w:r>
      <w:r>
        <w:rPr/>
        <w:t>2023</w:t>
      </w:r>
      <w:r>
        <w:rPr>
          <w:spacing w:val="-3"/>
        </w:rPr>
        <w:t> </w:t>
      </w:r>
      <w:r>
        <w:rPr/>
        <w:t>son</w:t>
      </w:r>
      <w:r>
        <w:rPr>
          <w:spacing w:val="-3"/>
        </w:rPr>
        <w:t> </w:t>
      </w:r>
      <w:r>
        <w:rPr/>
        <w:t>los</w:t>
      </w:r>
      <w:r>
        <w:rPr>
          <w:spacing w:val="-3"/>
        </w:rPr>
        <w:t> </w:t>
      </w:r>
      <w:r>
        <w:rPr/>
        <w:t>siguientes:</w:t>
      </w:r>
    </w:p>
    <w:p>
      <w:pPr>
        <w:pStyle w:val="BodyText"/>
        <w:spacing w:before="2" w:after="1"/>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99"/>
        <w:gridCol w:w="1301"/>
        <w:gridCol w:w="1479"/>
        <w:gridCol w:w="1721"/>
        <w:gridCol w:w="1200"/>
      </w:tblGrid>
      <w:tr>
        <w:trPr>
          <w:trHeight w:val="256" w:hRule="atLeast"/>
        </w:trPr>
        <w:tc>
          <w:tcPr>
            <w:tcW w:w="2899" w:type="dxa"/>
          </w:tcPr>
          <w:p>
            <w:pPr>
              <w:pStyle w:val="TableParagraph"/>
              <w:spacing w:before="0"/>
              <w:rPr>
                <w:rFonts w:ascii="Times New Roman"/>
                <w:sz w:val="18"/>
              </w:rPr>
            </w:pPr>
          </w:p>
        </w:tc>
        <w:tc>
          <w:tcPr>
            <w:tcW w:w="1301" w:type="dxa"/>
          </w:tcPr>
          <w:p>
            <w:pPr>
              <w:pStyle w:val="TableParagraph"/>
              <w:spacing w:line="178" w:lineRule="exact" w:before="58"/>
              <w:ind w:right="93"/>
              <w:jc w:val="right"/>
              <w:rPr>
                <w:sz w:val="16"/>
              </w:rPr>
            </w:pPr>
            <w:r>
              <w:rPr>
                <w:sz w:val="16"/>
              </w:rPr>
              <w:t>Actividad música</w:t>
            </w:r>
          </w:p>
        </w:tc>
        <w:tc>
          <w:tcPr>
            <w:tcW w:w="1479" w:type="dxa"/>
          </w:tcPr>
          <w:p>
            <w:pPr>
              <w:pStyle w:val="TableParagraph"/>
              <w:spacing w:line="178" w:lineRule="exact" w:before="58"/>
              <w:ind w:right="89"/>
              <w:jc w:val="right"/>
              <w:rPr>
                <w:sz w:val="16"/>
              </w:rPr>
            </w:pPr>
            <w:r>
              <w:rPr>
                <w:sz w:val="16"/>
              </w:rPr>
              <w:t>Actividad biblioteca</w:t>
            </w:r>
          </w:p>
        </w:tc>
        <w:tc>
          <w:tcPr>
            <w:tcW w:w="1721" w:type="dxa"/>
          </w:tcPr>
          <w:p>
            <w:pPr>
              <w:pStyle w:val="TableParagraph"/>
              <w:spacing w:line="178" w:lineRule="exact" w:before="58"/>
              <w:ind w:left="104"/>
              <w:rPr>
                <w:sz w:val="16"/>
              </w:rPr>
            </w:pPr>
            <w:r>
              <w:rPr>
                <w:sz w:val="16"/>
              </w:rPr>
              <w:t>Gastos funcionamiento</w:t>
            </w:r>
          </w:p>
        </w:tc>
        <w:tc>
          <w:tcPr>
            <w:tcW w:w="1200" w:type="dxa"/>
          </w:tcPr>
          <w:p>
            <w:pPr>
              <w:pStyle w:val="TableParagraph"/>
              <w:spacing w:line="178" w:lineRule="exact" w:before="58"/>
              <w:ind w:left="387"/>
              <w:rPr>
                <w:sz w:val="16"/>
              </w:rPr>
            </w:pPr>
            <w:r>
              <w:rPr>
                <w:sz w:val="16"/>
              </w:rPr>
              <w:t>TOTAL</w:t>
            </w:r>
          </w:p>
        </w:tc>
      </w:tr>
      <w:tr>
        <w:trPr>
          <w:trHeight w:val="222" w:hRule="atLeast"/>
        </w:trPr>
        <w:tc>
          <w:tcPr>
            <w:tcW w:w="2899" w:type="dxa"/>
            <w:vMerge w:val="restart"/>
          </w:tcPr>
          <w:p>
            <w:pPr>
              <w:pStyle w:val="TableParagraph"/>
              <w:spacing w:before="27"/>
              <w:ind w:left="69"/>
              <w:rPr>
                <w:sz w:val="16"/>
              </w:rPr>
            </w:pPr>
            <w:r>
              <w:rPr>
                <w:sz w:val="16"/>
              </w:rPr>
              <w:t>Ayuntamiento de Los Realejos</w:t>
            </w:r>
          </w:p>
          <w:p>
            <w:pPr>
              <w:pStyle w:val="TableParagraph"/>
              <w:spacing w:line="178" w:lineRule="exact" w:before="54"/>
              <w:ind w:left="69"/>
              <w:rPr>
                <w:sz w:val="16"/>
              </w:rPr>
            </w:pPr>
            <w:r>
              <w:rPr>
                <w:sz w:val="16"/>
              </w:rPr>
              <w:t>Ayuntamiento de Icod de Los Vinos</w:t>
            </w:r>
          </w:p>
        </w:tc>
        <w:tc>
          <w:tcPr>
            <w:tcW w:w="1301" w:type="dxa"/>
          </w:tcPr>
          <w:p>
            <w:pPr>
              <w:pStyle w:val="TableParagraph"/>
              <w:spacing w:line="175" w:lineRule="exact" w:before="27"/>
              <w:ind w:right="57"/>
              <w:jc w:val="right"/>
              <w:rPr>
                <w:sz w:val="16"/>
              </w:rPr>
            </w:pPr>
            <w:r>
              <w:rPr>
                <w:sz w:val="16"/>
              </w:rPr>
              <w:t>101.814,13</w:t>
            </w:r>
          </w:p>
        </w:tc>
        <w:tc>
          <w:tcPr>
            <w:tcW w:w="1479" w:type="dxa"/>
          </w:tcPr>
          <w:p>
            <w:pPr>
              <w:pStyle w:val="TableParagraph"/>
              <w:spacing w:line="175" w:lineRule="exact" w:before="27"/>
              <w:ind w:right="56"/>
              <w:jc w:val="right"/>
              <w:rPr>
                <w:sz w:val="16"/>
              </w:rPr>
            </w:pPr>
            <w:r>
              <w:rPr>
                <w:sz w:val="16"/>
              </w:rPr>
              <w:t>44.137,50</w:t>
            </w:r>
          </w:p>
        </w:tc>
        <w:tc>
          <w:tcPr>
            <w:tcW w:w="1721" w:type="dxa"/>
          </w:tcPr>
          <w:p>
            <w:pPr>
              <w:pStyle w:val="TableParagraph"/>
              <w:spacing w:before="0"/>
              <w:rPr>
                <w:rFonts w:ascii="Times New Roman"/>
                <w:sz w:val="14"/>
              </w:rPr>
            </w:pPr>
          </w:p>
        </w:tc>
        <w:tc>
          <w:tcPr>
            <w:tcW w:w="1200" w:type="dxa"/>
          </w:tcPr>
          <w:p>
            <w:pPr>
              <w:pStyle w:val="TableParagraph"/>
              <w:spacing w:line="175" w:lineRule="exact" w:before="27"/>
              <w:ind w:right="56"/>
              <w:jc w:val="right"/>
              <w:rPr>
                <w:sz w:val="16"/>
              </w:rPr>
            </w:pPr>
            <w:r>
              <w:rPr>
                <w:sz w:val="16"/>
              </w:rPr>
              <w:t>145.951,63</w:t>
            </w:r>
          </w:p>
        </w:tc>
      </w:tr>
      <w:tr>
        <w:trPr>
          <w:trHeight w:val="242" w:hRule="atLeast"/>
        </w:trPr>
        <w:tc>
          <w:tcPr>
            <w:tcW w:w="2899" w:type="dxa"/>
            <w:vMerge/>
            <w:tcBorders>
              <w:top w:val="nil"/>
            </w:tcBorders>
          </w:tcPr>
          <w:p>
            <w:pPr>
              <w:rPr>
                <w:sz w:val="2"/>
                <w:szCs w:val="2"/>
              </w:rPr>
            </w:pPr>
          </w:p>
        </w:tc>
        <w:tc>
          <w:tcPr>
            <w:tcW w:w="1301" w:type="dxa"/>
          </w:tcPr>
          <w:p>
            <w:pPr>
              <w:pStyle w:val="TableParagraph"/>
              <w:spacing w:line="178" w:lineRule="exact" w:before="44"/>
              <w:ind w:right="57"/>
              <w:jc w:val="right"/>
              <w:rPr>
                <w:sz w:val="16"/>
              </w:rPr>
            </w:pPr>
            <w:r>
              <w:rPr>
                <w:sz w:val="16"/>
              </w:rPr>
              <w:t>67.876,08</w:t>
            </w:r>
          </w:p>
        </w:tc>
        <w:tc>
          <w:tcPr>
            <w:tcW w:w="1479" w:type="dxa"/>
          </w:tcPr>
          <w:p>
            <w:pPr>
              <w:pStyle w:val="TableParagraph"/>
              <w:spacing w:before="0"/>
              <w:rPr>
                <w:rFonts w:ascii="Times New Roman"/>
                <w:sz w:val="16"/>
              </w:rPr>
            </w:pPr>
          </w:p>
        </w:tc>
        <w:tc>
          <w:tcPr>
            <w:tcW w:w="1721" w:type="dxa"/>
          </w:tcPr>
          <w:p>
            <w:pPr>
              <w:pStyle w:val="TableParagraph"/>
              <w:spacing w:before="0"/>
              <w:rPr>
                <w:rFonts w:ascii="Times New Roman"/>
                <w:sz w:val="16"/>
              </w:rPr>
            </w:pPr>
          </w:p>
        </w:tc>
        <w:tc>
          <w:tcPr>
            <w:tcW w:w="1200" w:type="dxa"/>
          </w:tcPr>
          <w:p>
            <w:pPr>
              <w:pStyle w:val="TableParagraph"/>
              <w:spacing w:line="178" w:lineRule="exact" w:before="44"/>
              <w:ind w:right="56"/>
              <w:jc w:val="right"/>
              <w:rPr>
                <w:sz w:val="16"/>
              </w:rPr>
            </w:pPr>
            <w:r>
              <w:rPr>
                <w:sz w:val="16"/>
              </w:rPr>
              <w:t>67.876,08</w:t>
            </w:r>
          </w:p>
        </w:tc>
      </w:tr>
      <w:tr>
        <w:trPr>
          <w:trHeight w:val="254" w:hRule="atLeast"/>
        </w:trPr>
        <w:tc>
          <w:tcPr>
            <w:tcW w:w="7400" w:type="dxa"/>
            <w:gridSpan w:val="4"/>
            <w:tcBorders>
              <w:left w:val="nil"/>
              <w:bottom w:val="nil"/>
            </w:tcBorders>
          </w:tcPr>
          <w:p>
            <w:pPr>
              <w:pStyle w:val="TableParagraph"/>
              <w:spacing w:before="0"/>
              <w:rPr>
                <w:rFonts w:ascii="Times New Roman"/>
                <w:sz w:val="18"/>
              </w:rPr>
            </w:pPr>
          </w:p>
        </w:tc>
        <w:tc>
          <w:tcPr>
            <w:tcW w:w="1200" w:type="dxa"/>
          </w:tcPr>
          <w:p>
            <w:pPr>
              <w:pStyle w:val="TableParagraph"/>
              <w:spacing w:line="175" w:lineRule="exact" w:before="58"/>
              <w:ind w:right="56"/>
              <w:jc w:val="right"/>
              <w:rPr>
                <w:sz w:val="16"/>
              </w:rPr>
            </w:pPr>
            <w:r>
              <w:rPr>
                <w:sz w:val="16"/>
              </w:rPr>
              <w:t>213.827,71</w:t>
            </w:r>
          </w:p>
        </w:tc>
      </w:tr>
    </w:tbl>
    <w:p>
      <w:pPr>
        <w:pStyle w:val="BodyText"/>
        <w:rPr>
          <w:sz w:val="18"/>
        </w:rPr>
      </w:pPr>
    </w:p>
    <w:p>
      <w:pPr>
        <w:pStyle w:val="BodyText"/>
        <w:rPr>
          <w:sz w:val="18"/>
        </w:rPr>
      </w:pPr>
    </w:p>
    <w:p>
      <w:pPr>
        <w:pStyle w:val="Heading1"/>
        <w:numPr>
          <w:ilvl w:val="0"/>
          <w:numId w:val="20"/>
        </w:numPr>
        <w:tabs>
          <w:tab w:pos="542" w:val="left" w:leader="none"/>
        </w:tabs>
        <w:spacing w:line="240" w:lineRule="auto" w:before="153" w:after="0"/>
        <w:ind w:left="541" w:right="0" w:hanging="421"/>
        <w:jc w:val="left"/>
      </w:pPr>
      <w:r>
        <w:rPr/>
        <w:t>OTRA</w:t>
      </w:r>
      <w:r>
        <w:rPr>
          <w:spacing w:val="-2"/>
        </w:rPr>
        <w:t> </w:t>
      </w:r>
      <w:r>
        <w:rPr/>
        <w:t>INFORMACION.</w:t>
      </w:r>
    </w:p>
    <w:p>
      <w:pPr>
        <w:pStyle w:val="BodyText"/>
        <w:spacing w:before="8"/>
        <w:rPr>
          <w:b/>
          <w:sz w:val="20"/>
        </w:rPr>
      </w:pPr>
    </w:p>
    <w:p>
      <w:pPr>
        <w:pStyle w:val="BodyText"/>
        <w:spacing w:line="276" w:lineRule="auto"/>
        <w:ind w:left="121" w:right="1030"/>
        <w:jc w:val="both"/>
      </w:pPr>
      <w:r>
        <w:rPr/>
        <w:t>El importe de los sueldos, dietas y remuneraciones de cualquier clase devengados en el curso del ejercicio por los miembros del órgano de gobierno, cualquiera que sea su causa, así como las obligaciones contraídas en materia de pensiones o de pagos de primas de seguros de vida respecto de los miembros antiguos y actuales del órgano de gobierno han sin de cero euros. Asimismo, no se han realizado retribuciones por ningún tipo de indemnización por cese.</w:t>
      </w:r>
    </w:p>
    <w:p>
      <w:pPr>
        <w:pStyle w:val="BodyText"/>
        <w:spacing w:before="5"/>
        <w:rPr>
          <w:sz w:val="16"/>
        </w:rPr>
      </w:pPr>
    </w:p>
    <w:p>
      <w:pPr>
        <w:pStyle w:val="BodyText"/>
        <w:spacing w:line="276" w:lineRule="auto"/>
        <w:ind w:left="121" w:right="1031" w:hanging="1"/>
        <w:jc w:val="both"/>
      </w:pPr>
      <w:r>
        <w:rPr/>
        <w:t>La Fundación no ha realizado operaciones de anticipos o créditos concedidos a los miembros de los órganos de gobierno, ni obligaciones asumidas a cuenta de ellos a título de</w:t>
      </w:r>
      <w:r>
        <w:rPr>
          <w:spacing w:val="-10"/>
        </w:rPr>
        <w:t> </w:t>
      </w:r>
      <w:r>
        <w:rPr/>
        <w:t>garantía.</w:t>
      </w:r>
    </w:p>
    <w:p>
      <w:pPr>
        <w:pStyle w:val="BodyText"/>
        <w:spacing w:before="6"/>
        <w:rPr>
          <w:sz w:val="16"/>
        </w:rPr>
      </w:pPr>
    </w:p>
    <w:p>
      <w:pPr>
        <w:pStyle w:val="BodyText"/>
        <w:spacing w:line="273" w:lineRule="auto"/>
        <w:ind w:left="121" w:right="1031"/>
        <w:jc w:val="both"/>
      </w:pPr>
      <w:r>
        <w:rPr/>
        <w:t>La Fundación ha realizado cambios en el órgano de gobierno y en la representación de la misma, según acta de la sesión celebrada por el patronato el día 06 de febrero de 2024 y que se elevó a Escritura Pública el 16 de mayo de 2024 ante el notario Don Juan Montes Martínez. Los cambios han sido los</w:t>
      </w:r>
      <w:r>
        <w:rPr>
          <w:spacing w:val="-15"/>
        </w:rPr>
        <w:t> </w:t>
      </w:r>
      <w:r>
        <w:rPr/>
        <w:t>siguientes</w:t>
      </w:r>
      <w:r>
        <w:rPr>
          <w:color w:val="FF0000"/>
        </w:rPr>
        <w:t>:</w:t>
      </w:r>
    </w:p>
    <w:p>
      <w:pPr>
        <w:pStyle w:val="BodyText"/>
        <w:rPr>
          <w:sz w:val="20"/>
        </w:rPr>
      </w:pPr>
    </w:p>
    <w:p>
      <w:pPr>
        <w:pStyle w:val="BodyText"/>
        <w:rPr>
          <w:sz w:val="20"/>
        </w:rPr>
      </w:pPr>
    </w:p>
    <w:p>
      <w:pPr>
        <w:pStyle w:val="BodyText"/>
        <w:rPr>
          <w:sz w:val="15"/>
        </w:rPr>
      </w:pPr>
    </w:p>
    <w:tbl>
      <w:tblPr>
        <w:tblW w:w="0" w:type="auto"/>
        <w:jc w:val="left"/>
        <w:tblInd w:w="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61"/>
        <w:gridCol w:w="2959"/>
        <w:gridCol w:w="3021"/>
      </w:tblGrid>
      <w:tr>
        <w:trPr>
          <w:trHeight w:val="225" w:hRule="atLeast"/>
        </w:trPr>
        <w:tc>
          <w:tcPr>
            <w:tcW w:w="1361" w:type="dxa"/>
            <w:tcBorders>
              <w:top w:val="nil"/>
              <w:left w:val="nil"/>
            </w:tcBorders>
          </w:tcPr>
          <w:p>
            <w:pPr>
              <w:pStyle w:val="TableParagraph"/>
              <w:spacing w:before="0"/>
              <w:rPr>
                <w:rFonts w:ascii="Times New Roman"/>
                <w:sz w:val="16"/>
              </w:rPr>
            </w:pPr>
          </w:p>
        </w:tc>
        <w:tc>
          <w:tcPr>
            <w:tcW w:w="2959" w:type="dxa"/>
          </w:tcPr>
          <w:p>
            <w:pPr>
              <w:pStyle w:val="TableParagraph"/>
              <w:spacing w:line="175" w:lineRule="exact" w:before="30"/>
              <w:ind w:left="1185" w:right="1180"/>
              <w:jc w:val="center"/>
              <w:rPr>
                <w:sz w:val="16"/>
              </w:rPr>
            </w:pPr>
            <w:r>
              <w:rPr>
                <w:sz w:val="16"/>
              </w:rPr>
              <w:t>Anterior</w:t>
            </w:r>
          </w:p>
        </w:tc>
        <w:tc>
          <w:tcPr>
            <w:tcW w:w="3021" w:type="dxa"/>
          </w:tcPr>
          <w:p>
            <w:pPr>
              <w:pStyle w:val="TableParagraph"/>
              <w:spacing w:line="175" w:lineRule="exact" w:before="30"/>
              <w:ind w:left="1282" w:right="1276"/>
              <w:jc w:val="center"/>
              <w:rPr>
                <w:sz w:val="16"/>
              </w:rPr>
            </w:pPr>
            <w:r>
              <w:rPr>
                <w:sz w:val="16"/>
              </w:rPr>
              <w:t>Actual</w:t>
            </w:r>
          </w:p>
        </w:tc>
      </w:tr>
      <w:tr>
        <w:trPr>
          <w:trHeight w:val="225" w:hRule="atLeast"/>
        </w:trPr>
        <w:tc>
          <w:tcPr>
            <w:tcW w:w="1361" w:type="dxa"/>
          </w:tcPr>
          <w:p>
            <w:pPr>
              <w:pStyle w:val="TableParagraph"/>
              <w:spacing w:line="175" w:lineRule="exact" w:before="30"/>
              <w:ind w:left="69"/>
              <w:rPr>
                <w:sz w:val="16"/>
              </w:rPr>
            </w:pPr>
            <w:r>
              <w:rPr>
                <w:sz w:val="16"/>
              </w:rPr>
              <w:t>Presidente</w:t>
            </w:r>
          </w:p>
        </w:tc>
        <w:tc>
          <w:tcPr>
            <w:tcW w:w="2959" w:type="dxa"/>
          </w:tcPr>
          <w:p>
            <w:pPr>
              <w:pStyle w:val="TableParagraph"/>
              <w:spacing w:line="175" w:lineRule="exact" w:before="30"/>
              <w:ind w:left="69"/>
              <w:rPr>
                <w:sz w:val="16"/>
              </w:rPr>
            </w:pPr>
            <w:r>
              <w:rPr>
                <w:sz w:val="16"/>
              </w:rPr>
              <w:t>ADOLDO GONZALEZ PEREZ-SIVERIO</w:t>
            </w:r>
          </w:p>
        </w:tc>
        <w:tc>
          <w:tcPr>
            <w:tcW w:w="3021" w:type="dxa"/>
          </w:tcPr>
          <w:p>
            <w:pPr>
              <w:pStyle w:val="TableParagraph"/>
              <w:spacing w:line="175" w:lineRule="exact" w:before="30"/>
              <w:ind w:left="69"/>
              <w:rPr>
                <w:sz w:val="16"/>
              </w:rPr>
            </w:pPr>
            <w:r>
              <w:rPr>
                <w:sz w:val="16"/>
              </w:rPr>
              <w:t>JAVIER SIERRA JORGE</w:t>
            </w:r>
          </w:p>
        </w:tc>
      </w:tr>
      <w:tr>
        <w:trPr>
          <w:trHeight w:val="225" w:hRule="atLeast"/>
        </w:trPr>
        <w:tc>
          <w:tcPr>
            <w:tcW w:w="1361" w:type="dxa"/>
          </w:tcPr>
          <w:p>
            <w:pPr>
              <w:pStyle w:val="TableParagraph"/>
              <w:spacing w:line="175" w:lineRule="exact" w:before="30"/>
              <w:ind w:left="69"/>
              <w:rPr>
                <w:sz w:val="16"/>
              </w:rPr>
            </w:pPr>
            <w:r>
              <w:rPr>
                <w:sz w:val="16"/>
              </w:rPr>
              <w:t>Vicepresidente</w:t>
            </w:r>
          </w:p>
        </w:tc>
        <w:tc>
          <w:tcPr>
            <w:tcW w:w="2959" w:type="dxa"/>
          </w:tcPr>
          <w:p>
            <w:pPr>
              <w:pStyle w:val="TableParagraph"/>
              <w:spacing w:line="175" w:lineRule="exact" w:before="30"/>
              <w:ind w:left="69"/>
              <w:rPr>
                <w:sz w:val="16"/>
              </w:rPr>
            </w:pPr>
            <w:r>
              <w:rPr>
                <w:sz w:val="16"/>
              </w:rPr>
              <w:t>JAVIER SIERRA JORGE</w:t>
            </w:r>
          </w:p>
        </w:tc>
        <w:tc>
          <w:tcPr>
            <w:tcW w:w="3021" w:type="dxa"/>
          </w:tcPr>
          <w:p>
            <w:pPr>
              <w:pStyle w:val="TableParagraph"/>
              <w:spacing w:line="175" w:lineRule="exact" w:before="30"/>
              <w:ind w:left="69"/>
              <w:rPr>
                <w:sz w:val="16"/>
              </w:rPr>
            </w:pPr>
            <w:r>
              <w:rPr>
                <w:sz w:val="16"/>
              </w:rPr>
              <w:t>ADOLDO GONZALEZ PEREZ-SIVERIO</w:t>
            </w:r>
          </w:p>
        </w:tc>
      </w:tr>
      <w:tr>
        <w:trPr>
          <w:trHeight w:val="225" w:hRule="atLeast"/>
        </w:trPr>
        <w:tc>
          <w:tcPr>
            <w:tcW w:w="1361" w:type="dxa"/>
          </w:tcPr>
          <w:p>
            <w:pPr>
              <w:pStyle w:val="TableParagraph"/>
              <w:spacing w:line="175" w:lineRule="exact" w:before="30"/>
              <w:ind w:left="69"/>
              <w:rPr>
                <w:sz w:val="16"/>
              </w:rPr>
            </w:pPr>
            <w:r>
              <w:rPr>
                <w:sz w:val="16"/>
              </w:rPr>
              <w:t>Secretaria</w:t>
            </w:r>
          </w:p>
        </w:tc>
        <w:tc>
          <w:tcPr>
            <w:tcW w:w="2959" w:type="dxa"/>
          </w:tcPr>
          <w:p>
            <w:pPr>
              <w:pStyle w:val="TableParagraph"/>
              <w:spacing w:line="175" w:lineRule="exact" w:before="30"/>
              <w:ind w:left="69"/>
              <w:rPr>
                <w:sz w:val="16"/>
              </w:rPr>
            </w:pPr>
            <w:r>
              <w:rPr>
                <w:sz w:val="16"/>
              </w:rPr>
              <w:t>ISABEL ELENA SOCORRO GONZÁLEZ</w:t>
            </w:r>
          </w:p>
        </w:tc>
        <w:tc>
          <w:tcPr>
            <w:tcW w:w="3021" w:type="dxa"/>
          </w:tcPr>
          <w:p>
            <w:pPr>
              <w:pStyle w:val="TableParagraph"/>
              <w:spacing w:line="175" w:lineRule="exact" w:before="30"/>
              <w:ind w:left="69"/>
              <w:rPr>
                <w:sz w:val="16"/>
              </w:rPr>
            </w:pPr>
            <w:r>
              <w:rPr>
                <w:sz w:val="16"/>
              </w:rPr>
              <w:t>ISABEL ELENA SOCORRO GONZÁLEZ</w:t>
            </w:r>
          </w:p>
        </w:tc>
      </w:tr>
      <w:tr>
        <w:trPr>
          <w:trHeight w:val="225" w:hRule="atLeast"/>
        </w:trPr>
        <w:tc>
          <w:tcPr>
            <w:tcW w:w="1361" w:type="dxa"/>
          </w:tcPr>
          <w:p>
            <w:pPr>
              <w:pStyle w:val="TableParagraph"/>
              <w:spacing w:line="178" w:lineRule="exact" w:before="27"/>
              <w:ind w:left="69"/>
              <w:rPr>
                <w:sz w:val="16"/>
              </w:rPr>
            </w:pPr>
            <w:r>
              <w:rPr>
                <w:sz w:val="16"/>
              </w:rPr>
              <w:t>Vocal</w:t>
            </w:r>
          </w:p>
        </w:tc>
        <w:tc>
          <w:tcPr>
            <w:tcW w:w="2959" w:type="dxa"/>
          </w:tcPr>
          <w:p>
            <w:pPr>
              <w:pStyle w:val="TableParagraph"/>
              <w:spacing w:line="178" w:lineRule="exact" w:before="27"/>
              <w:ind w:left="69"/>
              <w:rPr>
                <w:sz w:val="16"/>
              </w:rPr>
            </w:pPr>
            <w:r>
              <w:rPr>
                <w:sz w:val="16"/>
              </w:rPr>
              <w:t>VERONICA GONZALEZ GARCIA</w:t>
            </w:r>
          </w:p>
        </w:tc>
        <w:tc>
          <w:tcPr>
            <w:tcW w:w="3021" w:type="dxa"/>
          </w:tcPr>
          <w:p>
            <w:pPr>
              <w:pStyle w:val="TableParagraph"/>
              <w:spacing w:line="178" w:lineRule="exact" w:before="27"/>
              <w:ind w:left="69"/>
              <w:rPr>
                <w:sz w:val="16"/>
              </w:rPr>
            </w:pPr>
            <w:r>
              <w:rPr>
                <w:sz w:val="16"/>
              </w:rPr>
              <w:t>VERONICA GONZALEZ GARCIA</w:t>
            </w:r>
          </w:p>
        </w:tc>
      </w:tr>
      <w:tr>
        <w:trPr>
          <w:trHeight w:val="225" w:hRule="atLeast"/>
        </w:trPr>
        <w:tc>
          <w:tcPr>
            <w:tcW w:w="1361" w:type="dxa"/>
          </w:tcPr>
          <w:p>
            <w:pPr>
              <w:pStyle w:val="TableParagraph"/>
              <w:spacing w:line="178" w:lineRule="exact" w:before="27"/>
              <w:ind w:left="69"/>
              <w:rPr>
                <w:sz w:val="16"/>
              </w:rPr>
            </w:pPr>
            <w:r>
              <w:rPr>
                <w:sz w:val="16"/>
              </w:rPr>
              <w:t>Vocal</w:t>
            </w:r>
          </w:p>
        </w:tc>
        <w:tc>
          <w:tcPr>
            <w:tcW w:w="2959" w:type="dxa"/>
          </w:tcPr>
          <w:p>
            <w:pPr>
              <w:pStyle w:val="TableParagraph"/>
              <w:spacing w:line="178" w:lineRule="exact" w:before="27"/>
              <w:ind w:left="69"/>
              <w:rPr>
                <w:sz w:val="16"/>
              </w:rPr>
            </w:pPr>
            <w:r>
              <w:rPr>
                <w:sz w:val="16"/>
              </w:rPr>
              <w:t>DOMINGO VICENTE BORGES GARCÍA</w:t>
            </w:r>
          </w:p>
        </w:tc>
        <w:tc>
          <w:tcPr>
            <w:tcW w:w="3021" w:type="dxa"/>
          </w:tcPr>
          <w:p>
            <w:pPr>
              <w:pStyle w:val="TableParagraph"/>
              <w:spacing w:line="178" w:lineRule="exact" w:before="27"/>
              <w:ind w:left="69"/>
              <w:rPr>
                <w:sz w:val="16"/>
              </w:rPr>
            </w:pPr>
            <w:r>
              <w:rPr>
                <w:sz w:val="16"/>
              </w:rPr>
              <w:t>DOMINGO VICENTE BORGES GARCÍA</w:t>
            </w:r>
          </w:p>
        </w:tc>
      </w:tr>
    </w:tbl>
    <w:p>
      <w:pPr>
        <w:pStyle w:val="BodyText"/>
        <w:rPr>
          <w:sz w:val="20"/>
        </w:rPr>
      </w:pPr>
    </w:p>
    <w:p>
      <w:pPr>
        <w:pStyle w:val="BodyText"/>
        <w:rPr>
          <w:sz w:val="18"/>
        </w:rPr>
      </w:pPr>
    </w:p>
    <w:p>
      <w:pPr>
        <w:pStyle w:val="BodyText"/>
        <w:spacing w:before="1"/>
        <w:ind w:left="121"/>
      </w:pPr>
      <w:r>
        <w:rPr/>
        <w:t>El número medio de personas empleadas en el curso del ejercicio es el siguiente:</w:t>
      </w:r>
    </w:p>
    <w:p>
      <w:pPr>
        <w:spacing w:after="0"/>
        <w:sectPr>
          <w:pgSz w:w="11900" w:h="16840"/>
          <w:pgMar w:header="739" w:footer="767" w:top="1600" w:bottom="960" w:left="1580" w:right="660"/>
        </w:sectPr>
      </w:pPr>
    </w:p>
    <w:p>
      <w:pPr>
        <w:pStyle w:val="BodyText"/>
        <w:spacing w:after="1"/>
        <w:rPr>
          <w:sz w:val="23"/>
        </w:rPr>
      </w:pP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81"/>
        <w:gridCol w:w="1450"/>
        <w:gridCol w:w="1450"/>
      </w:tblGrid>
      <w:tr>
        <w:trPr>
          <w:trHeight w:val="299" w:hRule="atLeast"/>
        </w:trPr>
        <w:tc>
          <w:tcPr>
            <w:tcW w:w="3881" w:type="dxa"/>
            <w:tcBorders>
              <w:top w:val="nil"/>
              <w:left w:val="nil"/>
            </w:tcBorders>
          </w:tcPr>
          <w:p>
            <w:pPr>
              <w:pStyle w:val="TableParagraph"/>
              <w:spacing w:before="0"/>
              <w:rPr>
                <w:rFonts w:ascii="Times New Roman"/>
                <w:sz w:val="18"/>
              </w:rPr>
            </w:pPr>
          </w:p>
        </w:tc>
        <w:tc>
          <w:tcPr>
            <w:tcW w:w="2900" w:type="dxa"/>
            <w:gridSpan w:val="2"/>
          </w:tcPr>
          <w:p>
            <w:pPr>
              <w:pStyle w:val="TableParagraph"/>
              <w:spacing w:line="199" w:lineRule="exact" w:before="80"/>
              <w:ind w:left="1242" w:right="1236"/>
              <w:jc w:val="center"/>
              <w:rPr>
                <w:sz w:val="18"/>
              </w:rPr>
            </w:pPr>
            <w:r>
              <w:rPr>
                <w:sz w:val="18"/>
              </w:rPr>
              <w:t>Total</w:t>
            </w:r>
          </w:p>
        </w:tc>
      </w:tr>
      <w:tr>
        <w:trPr>
          <w:trHeight w:val="299" w:hRule="atLeast"/>
        </w:trPr>
        <w:tc>
          <w:tcPr>
            <w:tcW w:w="3881" w:type="dxa"/>
          </w:tcPr>
          <w:p>
            <w:pPr>
              <w:pStyle w:val="TableParagraph"/>
              <w:spacing w:before="0"/>
              <w:rPr>
                <w:rFonts w:ascii="Times New Roman"/>
                <w:sz w:val="18"/>
              </w:rPr>
            </w:pPr>
          </w:p>
        </w:tc>
        <w:tc>
          <w:tcPr>
            <w:tcW w:w="1450" w:type="dxa"/>
          </w:tcPr>
          <w:p>
            <w:pPr>
              <w:pStyle w:val="TableParagraph"/>
              <w:spacing w:line="199" w:lineRule="exact" w:before="80"/>
              <w:ind w:left="69"/>
              <w:rPr>
                <w:sz w:val="18"/>
              </w:rPr>
            </w:pPr>
            <w:r>
              <w:rPr>
                <w:sz w:val="18"/>
              </w:rPr>
              <w:t>Ejercicio 2024</w:t>
            </w:r>
          </w:p>
        </w:tc>
        <w:tc>
          <w:tcPr>
            <w:tcW w:w="1450" w:type="dxa"/>
          </w:tcPr>
          <w:p>
            <w:pPr>
              <w:pStyle w:val="TableParagraph"/>
              <w:spacing w:line="199" w:lineRule="exact" w:before="80"/>
              <w:ind w:left="68"/>
              <w:rPr>
                <w:sz w:val="18"/>
              </w:rPr>
            </w:pPr>
            <w:r>
              <w:rPr>
                <w:sz w:val="18"/>
              </w:rPr>
              <w:t>Ejercicio 2023</w:t>
            </w:r>
          </w:p>
        </w:tc>
      </w:tr>
      <w:tr>
        <w:trPr>
          <w:trHeight w:val="299" w:hRule="atLeast"/>
        </w:trPr>
        <w:tc>
          <w:tcPr>
            <w:tcW w:w="3881" w:type="dxa"/>
          </w:tcPr>
          <w:p>
            <w:pPr>
              <w:pStyle w:val="TableParagraph"/>
              <w:spacing w:line="199" w:lineRule="exact" w:before="80"/>
              <w:ind w:left="69"/>
              <w:rPr>
                <w:sz w:val="18"/>
              </w:rPr>
            </w:pPr>
            <w:r>
              <w:rPr>
                <w:sz w:val="18"/>
              </w:rPr>
              <w:t>Total personal medio del ejercicio</w:t>
            </w:r>
          </w:p>
        </w:tc>
        <w:tc>
          <w:tcPr>
            <w:tcW w:w="1450" w:type="dxa"/>
          </w:tcPr>
          <w:p>
            <w:pPr>
              <w:pStyle w:val="TableParagraph"/>
              <w:spacing w:line="199" w:lineRule="exact" w:before="80"/>
              <w:ind w:right="58"/>
              <w:jc w:val="right"/>
              <w:rPr>
                <w:sz w:val="18"/>
              </w:rPr>
            </w:pPr>
            <w:r>
              <w:rPr>
                <w:w w:val="95"/>
                <w:sz w:val="18"/>
              </w:rPr>
              <w:t>8,80</w:t>
            </w:r>
          </w:p>
        </w:tc>
        <w:tc>
          <w:tcPr>
            <w:tcW w:w="1450" w:type="dxa"/>
          </w:tcPr>
          <w:p>
            <w:pPr>
              <w:pStyle w:val="TableParagraph"/>
              <w:spacing w:line="199" w:lineRule="exact" w:before="80"/>
              <w:ind w:right="58"/>
              <w:jc w:val="right"/>
              <w:rPr>
                <w:sz w:val="18"/>
              </w:rPr>
            </w:pPr>
            <w:r>
              <w:rPr>
                <w:w w:val="95"/>
                <w:sz w:val="18"/>
              </w:rPr>
              <w:t>8,88</w:t>
            </w:r>
          </w:p>
        </w:tc>
      </w:tr>
    </w:tbl>
    <w:p>
      <w:pPr>
        <w:pStyle w:val="BodyText"/>
        <w:rPr>
          <w:sz w:val="20"/>
        </w:rPr>
      </w:pPr>
    </w:p>
    <w:p>
      <w:pPr>
        <w:pStyle w:val="BodyText"/>
        <w:spacing w:before="3"/>
        <w:rPr>
          <w:sz w:val="18"/>
        </w:rPr>
      </w:pPr>
    </w:p>
    <w:p>
      <w:pPr>
        <w:pStyle w:val="BodyText"/>
        <w:ind w:left="121"/>
        <w:jc w:val="both"/>
      </w:pPr>
      <w:r>
        <w:rPr/>
        <w:t>Los importes recibidos por los miembros delo personal de lata dirección es el siguiente:</w:t>
      </w:r>
    </w:p>
    <w:p>
      <w:pPr>
        <w:pStyle w:val="BodyText"/>
        <w:spacing w:before="2" w:after="1"/>
      </w:pPr>
    </w:p>
    <w:tbl>
      <w:tblPr>
        <w:tblW w:w="0" w:type="auto"/>
        <w:jc w:val="left"/>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21"/>
        <w:gridCol w:w="1450"/>
        <w:gridCol w:w="1450"/>
      </w:tblGrid>
      <w:tr>
        <w:trPr>
          <w:trHeight w:val="299" w:hRule="atLeast"/>
        </w:trPr>
        <w:tc>
          <w:tcPr>
            <w:tcW w:w="5621" w:type="dxa"/>
            <w:tcBorders>
              <w:top w:val="nil"/>
              <w:left w:val="nil"/>
            </w:tcBorders>
          </w:tcPr>
          <w:p>
            <w:pPr>
              <w:pStyle w:val="TableParagraph"/>
              <w:spacing w:before="0"/>
              <w:rPr>
                <w:rFonts w:ascii="Times New Roman"/>
                <w:sz w:val="18"/>
              </w:rPr>
            </w:pPr>
          </w:p>
        </w:tc>
        <w:tc>
          <w:tcPr>
            <w:tcW w:w="2900" w:type="dxa"/>
            <w:gridSpan w:val="2"/>
          </w:tcPr>
          <w:p>
            <w:pPr>
              <w:pStyle w:val="TableParagraph"/>
              <w:spacing w:line="199" w:lineRule="exact" w:before="80"/>
              <w:ind w:left="1242" w:right="1236"/>
              <w:jc w:val="center"/>
              <w:rPr>
                <w:sz w:val="18"/>
              </w:rPr>
            </w:pPr>
            <w:r>
              <w:rPr>
                <w:sz w:val="18"/>
              </w:rPr>
              <w:t>Total</w:t>
            </w:r>
          </w:p>
        </w:tc>
      </w:tr>
      <w:tr>
        <w:trPr>
          <w:trHeight w:val="302" w:hRule="atLeast"/>
        </w:trPr>
        <w:tc>
          <w:tcPr>
            <w:tcW w:w="5621" w:type="dxa"/>
          </w:tcPr>
          <w:p>
            <w:pPr>
              <w:pStyle w:val="TableParagraph"/>
              <w:spacing w:line="199" w:lineRule="exact" w:before="83"/>
              <w:ind w:left="69"/>
              <w:rPr>
                <w:sz w:val="18"/>
              </w:rPr>
            </w:pPr>
            <w:r>
              <w:rPr>
                <w:sz w:val="18"/>
              </w:rPr>
              <w:t>Importes recibidos por los miembros del personal de alta dirección</w:t>
            </w:r>
          </w:p>
        </w:tc>
        <w:tc>
          <w:tcPr>
            <w:tcW w:w="1450" w:type="dxa"/>
          </w:tcPr>
          <w:p>
            <w:pPr>
              <w:pStyle w:val="TableParagraph"/>
              <w:spacing w:line="199" w:lineRule="exact" w:before="83"/>
              <w:ind w:left="215"/>
              <w:rPr>
                <w:sz w:val="18"/>
              </w:rPr>
            </w:pPr>
            <w:r>
              <w:rPr>
                <w:sz w:val="18"/>
              </w:rPr>
              <w:t>Ejercicio 2024</w:t>
            </w:r>
          </w:p>
        </w:tc>
        <w:tc>
          <w:tcPr>
            <w:tcW w:w="1450" w:type="dxa"/>
          </w:tcPr>
          <w:p>
            <w:pPr>
              <w:pStyle w:val="TableParagraph"/>
              <w:spacing w:line="199" w:lineRule="exact" w:before="83"/>
              <w:ind w:left="215"/>
              <w:rPr>
                <w:sz w:val="18"/>
              </w:rPr>
            </w:pPr>
            <w:r>
              <w:rPr>
                <w:sz w:val="18"/>
              </w:rPr>
              <w:t>Ejercicio 2023</w:t>
            </w:r>
          </w:p>
        </w:tc>
      </w:tr>
      <w:tr>
        <w:trPr>
          <w:trHeight w:val="299" w:hRule="atLeast"/>
        </w:trPr>
        <w:tc>
          <w:tcPr>
            <w:tcW w:w="5621" w:type="dxa"/>
          </w:tcPr>
          <w:p>
            <w:pPr>
              <w:pStyle w:val="TableParagraph"/>
              <w:spacing w:line="199" w:lineRule="exact" w:before="80"/>
              <w:ind w:left="69"/>
              <w:rPr>
                <w:sz w:val="18"/>
              </w:rPr>
            </w:pPr>
            <w:r>
              <w:rPr>
                <w:sz w:val="18"/>
              </w:rPr>
              <w:t>Sueldos, dietas y otras remuneraciones</w:t>
            </w:r>
          </w:p>
        </w:tc>
        <w:tc>
          <w:tcPr>
            <w:tcW w:w="1450" w:type="dxa"/>
          </w:tcPr>
          <w:p>
            <w:pPr>
              <w:pStyle w:val="TableParagraph"/>
              <w:spacing w:line="199" w:lineRule="exact" w:before="80"/>
              <w:ind w:left="649"/>
              <w:rPr>
                <w:sz w:val="18"/>
              </w:rPr>
            </w:pPr>
            <w:r>
              <w:rPr>
                <w:sz w:val="18"/>
              </w:rPr>
              <w:t>29.593,90</w:t>
            </w:r>
          </w:p>
        </w:tc>
        <w:tc>
          <w:tcPr>
            <w:tcW w:w="1450" w:type="dxa"/>
          </w:tcPr>
          <w:p>
            <w:pPr>
              <w:pStyle w:val="TableParagraph"/>
              <w:spacing w:line="199" w:lineRule="exact" w:before="80"/>
              <w:ind w:left="649"/>
              <w:rPr>
                <w:sz w:val="18"/>
              </w:rPr>
            </w:pPr>
            <w:r>
              <w:rPr>
                <w:sz w:val="18"/>
              </w:rPr>
              <w:t>28.303,37</w:t>
            </w:r>
          </w:p>
        </w:tc>
      </w:tr>
    </w:tbl>
    <w:p>
      <w:pPr>
        <w:pStyle w:val="BodyText"/>
        <w:rPr>
          <w:sz w:val="18"/>
        </w:rPr>
      </w:pPr>
    </w:p>
    <w:p>
      <w:pPr>
        <w:pStyle w:val="BodyText"/>
        <w:rPr>
          <w:sz w:val="18"/>
        </w:rPr>
      </w:pPr>
    </w:p>
    <w:p>
      <w:pPr>
        <w:pStyle w:val="BodyText"/>
        <w:spacing w:line="273" w:lineRule="auto" w:before="155"/>
        <w:ind w:left="121" w:right="1031"/>
        <w:jc w:val="both"/>
      </w:pPr>
      <w:r>
        <w:rPr/>
        <w:t>Los importes recibidos por los miembros del órgano de Administración de la Fundación son de cero euros, tanto en el ejercicio 2024 como en ejercicio 2023.</w:t>
      </w:r>
    </w:p>
    <w:p>
      <w:pPr>
        <w:pStyle w:val="BodyText"/>
        <w:rPr>
          <w:sz w:val="18"/>
        </w:rPr>
      </w:pPr>
    </w:p>
    <w:p>
      <w:pPr>
        <w:pStyle w:val="BodyText"/>
        <w:rPr>
          <w:sz w:val="18"/>
        </w:rPr>
      </w:pPr>
    </w:p>
    <w:p>
      <w:pPr>
        <w:pStyle w:val="BodyText"/>
        <w:spacing w:before="10"/>
        <w:rPr>
          <w:sz w:val="18"/>
        </w:rPr>
      </w:pPr>
    </w:p>
    <w:p>
      <w:pPr>
        <w:pStyle w:val="Heading1"/>
        <w:numPr>
          <w:ilvl w:val="0"/>
          <w:numId w:val="20"/>
        </w:numPr>
        <w:tabs>
          <w:tab w:pos="542" w:val="left" w:leader="none"/>
        </w:tabs>
        <w:spacing w:line="240" w:lineRule="auto" w:before="0" w:after="0"/>
        <w:ind w:left="541" w:right="0" w:hanging="421"/>
        <w:jc w:val="left"/>
      </w:pPr>
      <w:r>
        <w:rPr/>
        <w:t>SUBVENCIONES, DONACIONES Y</w:t>
      </w:r>
      <w:r>
        <w:rPr>
          <w:spacing w:val="-8"/>
        </w:rPr>
        <w:t> </w:t>
      </w:r>
      <w:r>
        <w:rPr/>
        <w:t>LEGADOS.</w:t>
      </w:r>
    </w:p>
    <w:p>
      <w:pPr>
        <w:pStyle w:val="BodyText"/>
        <w:spacing w:before="8"/>
        <w:rPr>
          <w:b/>
          <w:sz w:val="20"/>
        </w:rPr>
      </w:pPr>
    </w:p>
    <w:p>
      <w:pPr>
        <w:pStyle w:val="BodyText"/>
        <w:spacing w:line="276" w:lineRule="auto"/>
        <w:ind w:left="121" w:right="1030"/>
        <w:jc w:val="both"/>
      </w:pPr>
      <w:r>
        <w:rPr/>
        <w:t>En el presente ejercicio a la Fundación le han concedido subvenciones a la explotación de la Administración Local para la actividad propia de la misma; el Ayuntamiento de Los Realejos le concedió la cantidad de 159.564,55 euros y el Ayuntamientos de Icod de Los Vinos le concedió la cantidad de 76.951,36 euros.</w:t>
      </w:r>
    </w:p>
    <w:p>
      <w:pPr>
        <w:pStyle w:val="BodyText"/>
        <w:spacing w:before="6"/>
        <w:rPr>
          <w:sz w:val="16"/>
        </w:rPr>
      </w:pPr>
    </w:p>
    <w:p>
      <w:pPr>
        <w:pStyle w:val="BodyText"/>
        <w:spacing w:line="273" w:lineRule="auto"/>
        <w:ind w:left="121" w:right="1030"/>
        <w:jc w:val="both"/>
      </w:pPr>
      <w:r>
        <w:rPr/>
        <w:t>En el ejercicio anterior, a la Fundación le han concedido subvenciones a la explotación de la Administración Local para la actividad propia de la misma; el Ayuntamiento de Los Realejos le concedió la cantidad de 145.951,63 euros y el Ayuntamientos de Icod de Los Vinos le concedió la cantidad de 67.876,08</w:t>
      </w:r>
      <w:r>
        <w:rPr>
          <w:spacing w:val="-23"/>
        </w:rPr>
        <w:t> </w:t>
      </w:r>
      <w:r>
        <w:rPr/>
        <w:t>euros</w:t>
      </w:r>
    </w:p>
    <w:p>
      <w:pPr>
        <w:pStyle w:val="BodyText"/>
        <w:rPr>
          <w:sz w:val="17"/>
        </w:rPr>
      </w:pPr>
    </w:p>
    <w:p>
      <w:pPr>
        <w:pStyle w:val="BodyText"/>
        <w:spacing w:line="273" w:lineRule="auto"/>
        <w:ind w:left="121" w:right="1031" w:firstLine="43"/>
        <w:jc w:val="both"/>
      </w:pPr>
      <w:r>
        <w:rPr/>
        <w:t>El Cabildo Insular de Tenerife, de la Administración Insular, le ha concedido a la Fundación una subvención a la explotación por importe de 89.109,21 euros, y en el ejercicio 2023, la cantidad de 53.180,13</w:t>
      </w:r>
      <w:r>
        <w:rPr>
          <w:spacing w:val="-19"/>
        </w:rPr>
        <w:t> </w:t>
      </w:r>
      <w:r>
        <w:rPr/>
        <w:t>euros.</w:t>
      </w:r>
    </w:p>
    <w:p>
      <w:pPr>
        <w:pStyle w:val="BodyText"/>
        <w:rPr>
          <w:sz w:val="20"/>
        </w:rPr>
      </w:pPr>
    </w:p>
    <w:p>
      <w:pPr>
        <w:pStyle w:val="BodyText"/>
        <w:rPr>
          <w:sz w:val="20"/>
        </w:rPr>
      </w:pPr>
    </w:p>
    <w:p>
      <w:pPr>
        <w:pStyle w:val="BodyText"/>
        <w:spacing w:before="10"/>
        <w:rPr>
          <w:sz w:val="14"/>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90"/>
        <w:gridCol w:w="993"/>
        <w:gridCol w:w="1132"/>
        <w:gridCol w:w="993"/>
        <w:gridCol w:w="1274"/>
        <w:gridCol w:w="1135"/>
      </w:tblGrid>
      <w:tr>
        <w:trPr>
          <w:trHeight w:val="225" w:hRule="atLeast"/>
        </w:trPr>
        <w:tc>
          <w:tcPr>
            <w:tcW w:w="8517" w:type="dxa"/>
            <w:gridSpan w:val="6"/>
          </w:tcPr>
          <w:p>
            <w:pPr>
              <w:pStyle w:val="TableParagraph"/>
              <w:spacing w:line="178" w:lineRule="exact" w:before="27"/>
              <w:ind w:left="2891"/>
              <w:rPr>
                <w:sz w:val="16"/>
              </w:rPr>
            </w:pPr>
            <w:r>
              <w:rPr>
                <w:sz w:val="16"/>
              </w:rPr>
              <w:t>SUBVENCIONES, DONACIONES Y LEGADOS RECIBIDAS</w:t>
            </w:r>
          </w:p>
        </w:tc>
      </w:tr>
      <w:tr>
        <w:trPr>
          <w:trHeight w:val="239" w:hRule="atLeast"/>
        </w:trPr>
        <w:tc>
          <w:tcPr>
            <w:tcW w:w="2990" w:type="dxa"/>
            <w:vMerge w:val="restart"/>
          </w:tcPr>
          <w:p>
            <w:pPr>
              <w:pStyle w:val="TableParagraph"/>
              <w:spacing w:before="11"/>
              <w:rPr>
                <w:sz w:val="20"/>
              </w:rPr>
            </w:pPr>
          </w:p>
          <w:p>
            <w:pPr>
              <w:pStyle w:val="TableParagraph"/>
              <w:spacing w:before="0"/>
              <w:ind w:left="1211" w:right="1203"/>
              <w:jc w:val="center"/>
              <w:rPr>
                <w:sz w:val="16"/>
              </w:rPr>
            </w:pPr>
            <w:r>
              <w:rPr>
                <w:sz w:val="16"/>
              </w:rPr>
              <w:t>Cuentas</w:t>
            </w:r>
          </w:p>
        </w:tc>
        <w:tc>
          <w:tcPr>
            <w:tcW w:w="4392" w:type="dxa"/>
            <w:gridSpan w:val="4"/>
          </w:tcPr>
          <w:p>
            <w:pPr>
              <w:pStyle w:val="TableParagraph"/>
              <w:spacing w:line="175" w:lineRule="exact" w:before="44"/>
              <w:ind w:left="1590" w:right="1581"/>
              <w:jc w:val="center"/>
              <w:rPr>
                <w:sz w:val="16"/>
              </w:rPr>
            </w:pPr>
            <w:r>
              <w:rPr>
                <w:sz w:val="16"/>
              </w:rPr>
              <w:t>CARACTERISTICAS</w:t>
            </w:r>
          </w:p>
        </w:tc>
        <w:tc>
          <w:tcPr>
            <w:tcW w:w="1135" w:type="dxa"/>
            <w:vMerge w:val="restart"/>
          </w:tcPr>
          <w:p>
            <w:pPr>
              <w:pStyle w:val="TableParagraph"/>
              <w:spacing w:before="11"/>
              <w:rPr>
                <w:sz w:val="20"/>
              </w:rPr>
            </w:pPr>
          </w:p>
          <w:p>
            <w:pPr>
              <w:pStyle w:val="TableParagraph"/>
              <w:spacing w:before="0"/>
              <w:ind w:left="357"/>
              <w:rPr>
                <w:sz w:val="16"/>
              </w:rPr>
            </w:pPr>
            <w:r>
              <w:rPr>
                <w:sz w:val="16"/>
              </w:rPr>
              <w:t>TOTAL</w:t>
            </w:r>
          </w:p>
        </w:tc>
      </w:tr>
      <w:tr>
        <w:trPr>
          <w:trHeight w:val="225" w:hRule="atLeast"/>
        </w:trPr>
        <w:tc>
          <w:tcPr>
            <w:tcW w:w="2990" w:type="dxa"/>
            <w:vMerge/>
            <w:tcBorders>
              <w:top w:val="nil"/>
            </w:tcBorders>
          </w:tcPr>
          <w:p>
            <w:pPr>
              <w:rPr>
                <w:sz w:val="2"/>
                <w:szCs w:val="2"/>
              </w:rPr>
            </w:pPr>
          </w:p>
        </w:tc>
        <w:tc>
          <w:tcPr>
            <w:tcW w:w="2125" w:type="dxa"/>
            <w:gridSpan w:val="2"/>
          </w:tcPr>
          <w:p>
            <w:pPr>
              <w:pStyle w:val="TableParagraph"/>
              <w:spacing w:line="175" w:lineRule="exact" w:before="30"/>
              <w:ind w:left="441"/>
              <w:rPr>
                <w:sz w:val="16"/>
              </w:rPr>
            </w:pPr>
            <w:r>
              <w:rPr>
                <w:sz w:val="16"/>
              </w:rPr>
              <w:t>ACTIVIDAD PROPIA</w:t>
            </w:r>
          </w:p>
        </w:tc>
        <w:tc>
          <w:tcPr>
            <w:tcW w:w="2267" w:type="dxa"/>
            <w:gridSpan w:val="2"/>
          </w:tcPr>
          <w:p>
            <w:pPr>
              <w:pStyle w:val="TableParagraph"/>
              <w:spacing w:line="175" w:lineRule="exact" w:before="30"/>
              <w:ind w:left="373"/>
              <w:rPr>
                <w:sz w:val="16"/>
              </w:rPr>
            </w:pPr>
            <w:r>
              <w:rPr>
                <w:sz w:val="16"/>
              </w:rPr>
              <w:t>ACTIVIDAD MERCANTIL</w:t>
            </w:r>
          </w:p>
        </w:tc>
        <w:tc>
          <w:tcPr>
            <w:tcW w:w="1135" w:type="dxa"/>
            <w:vMerge/>
            <w:tcBorders>
              <w:top w:val="nil"/>
            </w:tcBorders>
          </w:tcPr>
          <w:p>
            <w:pPr>
              <w:rPr>
                <w:sz w:val="2"/>
                <w:szCs w:val="2"/>
              </w:rPr>
            </w:pPr>
          </w:p>
        </w:tc>
      </w:tr>
      <w:tr>
        <w:trPr>
          <w:trHeight w:val="225" w:hRule="atLeast"/>
        </w:trPr>
        <w:tc>
          <w:tcPr>
            <w:tcW w:w="2990" w:type="dxa"/>
            <w:vMerge/>
            <w:tcBorders>
              <w:top w:val="nil"/>
            </w:tcBorders>
          </w:tcPr>
          <w:p>
            <w:pPr>
              <w:rPr>
                <w:sz w:val="2"/>
                <w:szCs w:val="2"/>
              </w:rPr>
            </w:pPr>
          </w:p>
        </w:tc>
        <w:tc>
          <w:tcPr>
            <w:tcW w:w="993" w:type="dxa"/>
          </w:tcPr>
          <w:p>
            <w:pPr>
              <w:pStyle w:val="TableParagraph"/>
              <w:spacing w:line="175" w:lineRule="exact" w:before="30"/>
              <w:ind w:left="69"/>
              <w:rPr>
                <w:sz w:val="16"/>
              </w:rPr>
            </w:pPr>
            <w:r>
              <w:rPr>
                <w:sz w:val="16"/>
              </w:rPr>
              <w:t>Monetarias</w:t>
            </w:r>
          </w:p>
        </w:tc>
        <w:tc>
          <w:tcPr>
            <w:tcW w:w="1132" w:type="dxa"/>
          </w:tcPr>
          <w:p>
            <w:pPr>
              <w:pStyle w:val="TableParagraph"/>
              <w:spacing w:line="175" w:lineRule="exact" w:before="30"/>
              <w:ind w:left="70"/>
              <w:rPr>
                <w:sz w:val="16"/>
              </w:rPr>
            </w:pPr>
            <w:r>
              <w:rPr>
                <w:sz w:val="16"/>
              </w:rPr>
              <w:t>No Monetarias</w:t>
            </w:r>
          </w:p>
        </w:tc>
        <w:tc>
          <w:tcPr>
            <w:tcW w:w="993" w:type="dxa"/>
          </w:tcPr>
          <w:p>
            <w:pPr>
              <w:pStyle w:val="TableParagraph"/>
              <w:spacing w:line="175" w:lineRule="exact" w:before="30"/>
              <w:ind w:left="71"/>
              <w:rPr>
                <w:sz w:val="16"/>
              </w:rPr>
            </w:pPr>
            <w:r>
              <w:rPr>
                <w:sz w:val="16"/>
              </w:rPr>
              <w:t>Monetarias</w:t>
            </w:r>
          </w:p>
        </w:tc>
        <w:tc>
          <w:tcPr>
            <w:tcW w:w="1274" w:type="dxa"/>
          </w:tcPr>
          <w:p>
            <w:pPr>
              <w:pStyle w:val="TableParagraph"/>
              <w:spacing w:line="175" w:lineRule="exact" w:before="30"/>
              <w:ind w:left="71"/>
              <w:rPr>
                <w:sz w:val="16"/>
              </w:rPr>
            </w:pPr>
            <w:r>
              <w:rPr>
                <w:sz w:val="16"/>
              </w:rPr>
              <w:t>No monetarias</w:t>
            </w:r>
          </w:p>
        </w:tc>
        <w:tc>
          <w:tcPr>
            <w:tcW w:w="1135" w:type="dxa"/>
            <w:vMerge/>
            <w:tcBorders>
              <w:top w:val="nil"/>
            </w:tcBorders>
          </w:tcPr>
          <w:p>
            <w:pPr>
              <w:rPr>
                <w:sz w:val="2"/>
                <w:szCs w:val="2"/>
              </w:rPr>
            </w:pPr>
          </w:p>
        </w:tc>
      </w:tr>
      <w:tr>
        <w:trPr>
          <w:trHeight w:val="225" w:hRule="atLeast"/>
        </w:trPr>
        <w:tc>
          <w:tcPr>
            <w:tcW w:w="2990" w:type="dxa"/>
            <w:vMerge w:val="restart"/>
          </w:tcPr>
          <w:p>
            <w:pPr>
              <w:pStyle w:val="TableParagraph"/>
              <w:spacing w:line="288" w:lineRule="auto" w:before="30"/>
              <w:ind w:left="69" w:right="764"/>
              <w:rPr>
                <w:sz w:val="16"/>
              </w:rPr>
            </w:pPr>
            <w:r>
              <w:rPr>
                <w:sz w:val="16"/>
              </w:rPr>
              <w:t>Subvenciones oficiales de capital Donaciones y legados de capital</w:t>
            </w:r>
          </w:p>
          <w:p>
            <w:pPr>
              <w:pStyle w:val="TableParagraph"/>
              <w:spacing w:line="175" w:lineRule="exact" w:before="1"/>
              <w:ind w:left="69"/>
              <w:rPr>
                <w:sz w:val="16"/>
              </w:rPr>
            </w:pPr>
            <w:r>
              <w:rPr>
                <w:sz w:val="16"/>
              </w:rPr>
              <w:t>Otras</w:t>
            </w:r>
          </w:p>
        </w:tc>
        <w:tc>
          <w:tcPr>
            <w:tcW w:w="993"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993" w:type="dxa"/>
          </w:tcPr>
          <w:p>
            <w:pPr>
              <w:pStyle w:val="TableParagraph"/>
              <w:spacing w:before="0"/>
              <w:rPr>
                <w:rFonts w:ascii="Times New Roman"/>
                <w:sz w:val="16"/>
              </w:rPr>
            </w:pPr>
          </w:p>
        </w:tc>
        <w:tc>
          <w:tcPr>
            <w:tcW w:w="1274" w:type="dxa"/>
          </w:tcPr>
          <w:p>
            <w:pPr>
              <w:pStyle w:val="TableParagraph"/>
              <w:spacing w:before="0"/>
              <w:rPr>
                <w:rFonts w:ascii="Times New Roman"/>
                <w:sz w:val="16"/>
              </w:rPr>
            </w:pPr>
          </w:p>
        </w:tc>
        <w:tc>
          <w:tcPr>
            <w:tcW w:w="1135" w:type="dxa"/>
          </w:tcPr>
          <w:p>
            <w:pPr>
              <w:pStyle w:val="TableParagraph"/>
              <w:spacing w:before="0"/>
              <w:rPr>
                <w:rFonts w:ascii="Times New Roman"/>
                <w:sz w:val="16"/>
              </w:rPr>
            </w:pPr>
          </w:p>
        </w:tc>
      </w:tr>
      <w:tr>
        <w:trPr>
          <w:trHeight w:val="225" w:hRule="atLeast"/>
        </w:trPr>
        <w:tc>
          <w:tcPr>
            <w:tcW w:w="2990" w:type="dxa"/>
            <w:vMerge/>
            <w:tcBorders>
              <w:top w:val="nil"/>
            </w:tcBorders>
          </w:tcPr>
          <w:p>
            <w:pPr>
              <w:rPr>
                <w:sz w:val="2"/>
                <w:szCs w:val="2"/>
              </w:rPr>
            </w:pPr>
          </w:p>
        </w:tc>
        <w:tc>
          <w:tcPr>
            <w:tcW w:w="993"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993" w:type="dxa"/>
          </w:tcPr>
          <w:p>
            <w:pPr>
              <w:pStyle w:val="TableParagraph"/>
              <w:spacing w:before="0"/>
              <w:rPr>
                <w:rFonts w:ascii="Times New Roman"/>
                <w:sz w:val="16"/>
              </w:rPr>
            </w:pPr>
          </w:p>
        </w:tc>
        <w:tc>
          <w:tcPr>
            <w:tcW w:w="1274" w:type="dxa"/>
          </w:tcPr>
          <w:p>
            <w:pPr>
              <w:pStyle w:val="TableParagraph"/>
              <w:spacing w:before="0"/>
              <w:rPr>
                <w:rFonts w:ascii="Times New Roman"/>
                <w:sz w:val="16"/>
              </w:rPr>
            </w:pPr>
          </w:p>
        </w:tc>
        <w:tc>
          <w:tcPr>
            <w:tcW w:w="1135" w:type="dxa"/>
          </w:tcPr>
          <w:p>
            <w:pPr>
              <w:pStyle w:val="TableParagraph"/>
              <w:spacing w:before="0"/>
              <w:rPr>
                <w:rFonts w:ascii="Times New Roman"/>
                <w:sz w:val="16"/>
              </w:rPr>
            </w:pPr>
          </w:p>
        </w:tc>
      </w:tr>
      <w:tr>
        <w:trPr>
          <w:trHeight w:val="225" w:hRule="atLeast"/>
        </w:trPr>
        <w:tc>
          <w:tcPr>
            <w:tcW w:w="2990" w:type="dxa"/>
            <w:vMerge/>
            <w:tcBorders>
              <w:top w:val="nil"/>
            </w:tcBorders>
          </w:tcPr>
          <w:p>
            <w:pPr>
              <w:rPr>
                <w:sz w:val="2"/>
                <w:szCs w:val="2"/>
              </w:rPr>
            </w:pPr>
          </w:p>
        </w:tc>
        <w:tc>
          <w:tcPr>
            <w:tcW w:w="993"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993" w:type="dxa"/>
          </w:tcPr>
          <w:p>
            <w:pPr>
              <w:pStyle w:val="TableParagraph"/>
              <w:spacing w:before="0"/>
              <w:rPr>
                <w:rFonts w:ascii="Times New Roman"/>
                <w:sz w:val="16"/>
              </w:rPr>
            </w:pPr>
          </w:p>
        </w:tc>
        <w:tc>
          <w:tcPr>
            <w:tcW w:w="1274" w:type="dxa"/>
          </w:tcPr>
          <w:p>
            <w:pPr>
              <w:pStyle w:val="TableParagraph"/>
              <w:spacing w:before="0"/>
              <w:rPr>
                <w:rFonts w:ascii="Times New Roman"/>
                <w:sz w:val="16"/>
              </w:rPr>
            </w:pPr>
          </w:p>
        </w:tc>
        <w:tc>
          <w:tcPr>
            <w:tcW w:w="1135" w:type="dxa"/>
          </w:tcPr>
          <w:p>
            <w:pPr>
              <w:pStyle w:val="TableParagraph"/>
              <w:spacing w:before="0"/>
              <w:rPr>
                <w:rFonts w:ascii="Times New Roman"/>
                <w:sz w:val="16"/>
              </w:rPr>
            </w:pPr>
          </w:p>
        </w:tc>
      </w:tr>
      <w:tr>
        <w:trPr>
          <w:trHeight w:val="225" w:hRule="atLeast"/>
        </w:trPr>
        <w:tc>
          <w:tcPr>
            <w:tcW w:w="2990" w:type="dxa"/>
          </w:tcPr>
          <w:p>
            <w:pPr>
              <w:pStyle w:val="TableParagraph"/>
              <w:spacing w:line="178" w:lineRule="exact" w:before="27"/>
              <w:ind w:left="69"/>
              <w:rPr>
                <w:sz w:val="16"/>
              </w:rPr>
            </w:pPr>
            <w:r>
              <w:rPr>
                <w:sz w:val="16"/>
              </w:rPr>
              <w:t>TOTAL PERIODIFICABLES</w:t>
            </w:r>
          </w:p>
        </w:tc>
        <w:tc>
          <w:tcPr>
            <w:tcW w:w="993"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993" w:type="dxa"/>
          </w:tcPr>
          <w:p>
            <w:pPr>
              <w:pStyle w:val="TableParagraph"/>
              <w:spacing w:before="0"/>
              <w:rPr>
                <w:rFonts w:ascii="Times New Roman"/>
                <w:sz w:val="16"/>
              </w:rPr>
            </w:pPr>
          </w:p>
        </w:tc>
        <w:tc>
          <w:tcPr>
            <w:tcW w:w="1274" w:type="dxa"/>
          </w:tcPr>
          <w:p>
            <w:pPr>
              <w:pStyle w:val="TableParagraph"/>
              <w:spacing w:before="0"/>
              <w:rPr>
                <w:rFonts w:ascii="Times New Roman"/>
                <w:sz w:val="16"/>
              </w:rPr>
            </w:pPr>
          </w:p>
        </w:tc>
        <w:tc>
          <w:tcPr>
            <w:tcW w:w="1135" w:type="dxa"/>
          </w:tcPr>
          <w:p>
            <w:pPr>
              <w:pStyle w:val="TableParagraph"/>
              <w:spacing w:before="0"/>
              <w:rPr>
                <w:rFonts w:ascii="Times New Roman"/>
                <w:sz w:val="16"/>
              </w:rPr>
            </w:pPr>
          </w:p>
        </w:tc>
      </w:tr>
      <w:tr>
        <w:trPr>
          <w:trHeight w:val="225" w:hRule="atLeast"/>
        </w:trPr>
        <w:tc>
          <w:tcPr>
            <w:tcW w:w="2990" w:type="dxa"/>
            <w:vMerge w:val="restart"/>
          </w:tcPr>
          <w:p>
            <w:pPr>
              <w:pStyle w:val="TableParagraph"/>
              <w:spacing w:before="27"/>
              <w:ind w:left="69"/>
              <w:rPr>
                <w:sz w:val="16"/>
              </w:rPr>
            </w:pPr>
            <w:r>
              <w:rPr>
                <w:sz w:val="16"/>
              </w:rPr>
              <w:t>Subvenciones oficiales a la explotación</w:t>
            </w:r>
          </w:p>
          <w:p>
            <w:pPr>
              <w:pStyle w:val="TableParagraph"/>
              <w:spacing w:line="178" w:lineRule="exact" w:before="40"/>
              <w:ind w:left="69"/>
              <w:rPr>
                <w:sz w:val="16"/>
              </w:rPr>
            </w:pPr>
            <w:r>
              <w:rPr>
                <w:sz w:val="16"/>
              </w:rPr>
              <w:t>Otras subvenciones a la explotación</w:t>
            </w:r>
          </w:p>
        </w:tc>
        <w:tc>
          <w:tcPr>
            <w:tcW w:w="993" w:type="dxa"/>
          </w:tcPr>
          <w:p>
            <w:pPr>
              <w:pStyle w:val="TableParagraph"/>
              <w:spacing w:line="178" w:lineRule="exact" w:before="27"/>
              <w:ind w:right="56"/>
              <w:jc w:val="right"/>
              <w:rPr>
                <w:sz w:val="16"/>
              </w:rPr>
            </w:pPr>
            <w:r>
              <w:rPr>
                <w:sz w:val="16"/>
              </w:rPr>
              <w:t>325.625.12</w:t>
            </w:r>
          </w:p>
        </w:tc>
        <w:tc>
          <w:tcPr>
            <w:tcW w:w="1132" w:type="dxa"/>
          </w:tcPr>
          <w:p>
            <w:pPr>
              <w:pStyle w:val="TableParagraph"/>
              <w:spacing w:before="0"/>
              <w:rPr>
                <w:rFonts w:ascii="Times New Roman"/>
                <w:sz w:val="16"/>
              </w:rPr>
            </w:pPr>
          </w:p>
        </w:tc>
        <w:tc>
          <w:tcPr>
            <w:tcW w:w="993" w:type="dxa"/>
          </w:tcPr>
          <w:p>
            <w:pPr>
              <w:pStyle w:val="TableParagraph"/>
              <w:spacing w:before="0"/>
              <w:rPr>
                <w:rFonts w:ascii="Times New Roman"/>
                <w:sz w:val="16"/>
              </w:rPr>
            </w:pPr>
          </w:p>
        </w:tc>
        <w:tc>
          <w:tcPr>
            <w:tcW w:w="1274" w:type="dxa"/>
          </w:tcPr>
          <w:p>
            <w:pPr>
              <w:pStyle w:val="TableParagraph"/>
              <w:spacing w:before="0"/>
              <w:rPr>
                <w:rFonts w:ascii="Times New Roman"/>
                <w:sz w:val="16"/>
              </w:rPr>
            </w:pPr>
          </w:p>
        </w:tc>
        <w:tc>
          <w:tcPr>
            <w:tcW w:w="1135" w:type="dxa"/>
          </w:tcPr>
          <w:p>
            <w:pPr>
              <w:pStyle w:val="TableParagraph"/>
              <w:spacing w:line="178" w:lineRule="exact" w:before="27"/>
              <w:ind w:right="54"/>
              <w:jc w:val="right"/>
              <w:rPr>
                <w:sz w:val="16"/>
              </w:rPr>
            </w:pPr>
            <w:r>
              <w:rPr>
                <w:sz w:val="16"/>
              </w:rPr>
              <w:t>325.625,12</w:t>
            </w:r>
          </w:p>
        </w:tc>
      </w:tr>
      <w:tr>
        <w:trPr>
          <w:trHeight w:val="225" w:hRule="atLeast"/>
        </w:trPr>
        <w:tc>
          <w:tcPr>
            <w:tcW w:w="2990" w:type="dxa"/>
            <w:vMerge/>
            <w:tcBorders>
              <w:top w:val="nil"/>
            </w:tcBorders>
          </w:tcPr>
          <w:p>
            <w:pPr>
              <w:rPr>
                <w:sz w:val="2"/>
                <w:szCs w:val="2"/>
              </w:rPr>
            </w:pPr>
          </w:p>
        </w:tc>
        <w:tc>
          <w:tcPr>
            <w:tcW w:w="993" w:type="dxa"/>
          </w:tcPr>
          <w:p>
            <w:pPr>
              <w:pStyle w:val="TableParagraph"/>
              <w:spacing w:before="0"/>
              <w:rPr>
                <w:rFonts w:ascii="Times New Roman"/>
                <w:sz w:val="16"/>
              </w:rPr>
            </w:pPr>
          </w:p>
        </w:tc>
        <w:tc>
          <w:tcPr>
            <w:tcW w:w="1132" w:type="dxa"/>
          </w:tcPr>
          <w:p>
            <w:pPr>
              <w:pStyle w:val="TableParagraph"/>
              <w:spacing w:before="0"/>
              <w:rPr>
                <w:rFonts w:ascii="Times New Roman"/>
                <w:sz w:val="16"/>
              </w:rPr>
            </w:pPr>
          </w:p>
        </w:tc>
        <w:tc>
          <w:tcPr>
            <w:tcW w:w="993" w:type="dxa"/>
          </w:tcPr>
          <w:p>
            <w:pPr>
              <w:pStyle w:val="TableParagraph"/>
              <w:spacing w:before="0"/>
              <w:rPr>
                <w:rFonts w:ascii="Times New Roman"/>
                <w:sz w:val="16"/>
              </w:rPr>
            </w:pPr>
          </w:p>
        </w:tc>
        <w:tc>
          <w:tcPr>
            <w:tcW w:w="1274" w:type="dxa"/>
          </w:tcPr>
          <w:p>
            <w:pPr>
              <w:pStyle w:val="TableParagraph"/>
              <w:spacing w:before="0"/>
              <w:rPr>
                <w:rFonts w:ascii="Times New Roman"/>
                <w:sz w:val="16"/>
              </w:rPr>
            </w:pPr>
          </w:p>
        </w:tc>
        <w:tc>
          <w:tcPr>
            <w:tcW w:w="1135" w:type="dxa"/>
          </w:tcPr>
          <w:p>
            <w:pPr>
              <w:pStyle w:val="TableParagraph"/>
              <w:spacing w:before="0"/>
              <w:rPr>
                <w:rFonts w:ascii="Times New Roman"/>
                <w:sz w:val="16"/>
              </w:rPr>
            </w:pPr>
          </w:p>
        </w:tc>
      </w:tr>
      <w:tr>
        <w:trPr>
          <w:trHeight w:val="225" w:hRule="atLeast"/>
        </w:trPr>
        <w:tc>
          <w:tcPr>
            <w:tcW w:w="2990" w:type="dxa"/>
          </w:tcPr>
          <w:p>
            <w:pPr>
              <w:pStyle w:val="TableParagraph"/>
              <w:spacing w:line="178" w:lineRule="exact" w:before="27"/>
              <w:ind w:left="69"/>
              <w:rPr>
                <w:sz w:val="16"/>
              </w:rPr>
            </w:pPr>
            <w:r>
              <w:rPr>
                <w:sz w:val="16"/>
              </w:rPr>
              <w:t>TOTAL NO PERIODIFICABLES</w:t>
            </w:r>
          </w:p>
        </w:tc>
        <w:tc>
          <w:tcPr>
            <w:tcW w:w="993" w:type="dxa"/>
          </w:tcPr>
          <w:p>
            <w:pPr>
              <w:pStyle w:val="TableParagraph"/>
              <w:spacing w:line="178" w:lineRule="exact" w:before="27"/>
              <w:ind w:right="56"/>
              <w:jc w:val="right"/>
              <w:rPr>
                <w:sz w:val="16"/>
              </w:rPr>
            </w:pPr>
            <w:r>
              <w:rPr>
                <w:sz w:val="16"/>
              </w:rPr>
              <w:t>325.625,12</w:t>
            </w:r>
          </w:p>
        </w:tc>
        <w:tc>
          <w:tcPr>
            <w:tcW w:w="1132" w:type="dxa"/>
          </w:tcPr>
          <w:p>
            <w:pPr>
              <w:pStyle w:val="TableParagraph"/>
              <w:spacing w:before="0"/>
              <w:rPr>
                <w:rFonts w:ascii="Times New Roman"/>
                <w:sz w:val="16"/>
              </w:rPr>
            </w:pPr>
          </w:p>
        </w:tc>
        <w:tc>
          <w:tcPr>
            <w:tcW w:w="993" w:type="dxa"/>
          </w:tcPr>
          <w:p>
            <w:pPr>
              <w:pStyle w:val="TableParagraph"/>
              <w:spacing w:before="0"/>
              <w:rPr>
                <w:rFonts w:ascii="Times New Roman"/>
                <w:sz w:val="16"/>
              </w:rPr>
            </w:pPr>
          </w:p>
        </w:tc>
        <w:tc>
          <w:tcPr>
            <w:tcW w:w="1274" w:type="dxa"/>
          </w:tcPr>
          <w:p>
            <w:pPr>
              <w:pStyle w:val="TableParagraph"/>
              <w:spacing w:before="0"/>
              <w:rPr>
                <w:rFonts w:ascii="Times New Roman"/>
                <w:sz w:val="16"/>
              </w:rPr>
            </w:pPr>
          </w:p>
        </w:tc>
        <w:tc>
          <w:tcPr>
            <w:tcW w:w="1135" w:type="dxa"/>
          </w:tcPr>
          <w:p>
            <w:pPr>
              <w:pStyle w:val="TableParagraph"/>
              <w:spacing w:line="178" w:lineRule="exact" w:before="27"/>
              <w:ind w:right="54"/>
              <w:jc w:val="right"/>
              <w:rPr>
                <w:sz w:val="16"/>
              </w:rPr>
            </w:pPr>
            <w:r>
              <w:rPr>
                <w:sz w:val="16"/>
              </w:rPr>
              <w:t>325.625,12</w:t>
            </w:r>
          </w:p>
        </w:tc>
      </w:tr>
      <w:tr>
        <w:trPr>
          <w:trHeight w:val="225" w:hRule="atLeast"/>
        </w:trPr>
        <w:tc>
          <w:tcPr>
            <w:tcW w:w="2990" w:type="dxa"/>
          </w:tcPr>
          <w:p>
            <w:pPr>
              <w:pStyle w:val="TableParagraph"/>
              <w:spacing w:line="178" w:lineRule="exact" w:before="27"/>
              <w:ind w:left="69"/>
              <w:rPr>
                <w:sz w:val="16"/>
              </w:rPr>
            </w:pPr>
            <w:r>
              <w:rPr>
                <w:sz w:val="16"/>
              </w:rPr>
              <w:t>TOTAL</w:t>
            </w:r>
          </w:p>
        </w:tc>
        <w:tc>
          <w:tcPr>
            <w:tcW w:w="993" w:type="dxa"/>
          </w:tcPr>
          <w:p>
            <w:pPr>
              <w:pStyle w:val="TableParagraph"/>
              <w:spacing w:line="178" w:lineRule="exact" w:before="27"/>
              <w:ind w:right="56"/>
              <w:jc w:val="right"/>
              <w:rPr>
                <w:sz w:val="16"/>
              </w:rPr>
            </w:pPr>
            <w:r>
              <w:rPr>
                <w:sz w:val="16"/>
              </w:rPr>
              <w:t>325.625,12</w:t>
            </w:r>
          </w:p>
        </w:tc>
        <w:tc>
          <w:tcPr>
            <w:tcW w:w="1132" w:type="dxa"/>
          </w:tcPr>
          <w:p>
            <w:pPr>
              <w:pStyle w:val="TableParagraph"/>
              <w:spacing w:before="0"/>
              <w:rPr>
                <w:rFonts w:ascii="Times New Roman"/>
                <w:sz w:val="16"/>
              </w:rPr>
            </w:pPr>
          </w:p>
        </w:tc>
        <w:tc>
          <w:tcPr>
            <w:tcW w:w="993" w:type="dxa"/>
          </w:tcPr>
          <w:p>
            <w:pPr>
              <w:pStyle w:val="TableParagraph"/>
              <w:spacing w:before="0"/>
              <w:rPr>
                <w:rFonts w:ascii="Times New Roman"/>
                <w:sz w:val="16"/>
              </w:rPr>
            </w:pPr>
          </w:p>
        </w:tc>
        <w:tc>
          <w:tcPr>
            <w:tcW w:w="1274" w:type="dxa"/>
          </w:tcPr>
          <w:p>
            <w:pPr>
              <w:pStyle w:val="TableParagraph"/>
              <w:spacing w:before="0"/>
              <w:rPr>
                <w:rFonts w:ascii="Times New Roman"/>
                <w:sz w:val="16"/>
              </w:rPr>
            </w:pPr>
          </w:p>
        </w:tc>
        <w:tc>
          <w:tcPr>
            <w:tcW w:w="1135" w:type="dxa"/>
          </w:tcPr>
          <w:p>
            <w:pPr>
              <w:pStyle w:val="TableParagraph"/>
              <w:spacing w:line="178" w:lineRule="exact" w:before="27"/>
              <w:ind w:right="54"/>
              <w:jc w:val="right"/>
              <w:rPr>
                <w:sz w:val="16"/>
              </w:rPr>
            </w:pPr>
            <w:r>
              <w:rPr>
                <w:sz w:val="16"/>
              </w:rPr>
              <w:t>325.625,12</w:t>
            </w:r>
          </w:p>
        </w:tc>
      </w:tr>
    </w:tbl>
    <w:p>
      <w:pPr>
        <w:pStyle w:val="BodyText"/>
        <w:rPr>
          <w:sz w:val="20"/>
        </w:rPr>
      </w:pPr>
    </w:p>
    <w:p>
      <w:pPr>
        <w:pStyle w:val="BodyText"/>
        <w:rPr>
          <w:sz w:val="18"/>
        </w:rPr>
      </w:pPr>
    </w:p>
    <w:p>
      <w:pPr>
        <w:pStyle w:val="BodyText"/>
        <w:spacing w:before="1"/>
        <w:ind w:left="121"/>
      </w:pPr>
      <w:r>
        <w:rPr/>
        <w:t>La Fundación no ha recibido subvenciones de capital en el ejercicio 2024 ni el ejercicio 2023.</w:t>
      </w:r>
    </w:p>
    <w:p>
      <w:pPr>
        <w:spacing w:after="0"/>
        <w:sectPr>
          <w:pgSz w:w="11900" w:h="16840"/>
          <w:pgMar w:header="739" w:footer="767" w:top="1600" w:bottom="960" w:left="1580" w:right="660"/>
        </w:sectPr>
      </w:pPr>
    </w:p>
    <w:p>
      <w:pPr>
        <w:pStyle w:val="BodyText"/>
        <w:spacing w:before="11"/>
        <w:rPr>
          <w:sz w:val="17"/>
        </w:rPr>
      </w:pPr>
    </w:p>
    <w:p>
      <w:pPr>
        <w:pStyle w:val="BodyText"/>
        <w:spacing w:before="62"/>
        <w:ind w:left="121"/>
      </w:pPr>
      <w:r>
        <w:rPr/>
        <w:t>Las subvenciones de capital que aparecen en los estados contables, corresponde a:</w:t>
      </w:r>
    </w:p>
    <w:p>
      <w:pPr>
        <w:pStyle w:val="BodyText"/>
        <w:spacing w:before="2"/>
      </w:pPr>
    </w:p>
    <w:tbl>
      <w:tblPr>
        <w:tblW w:w="0" w:type="auto"/>
        <w:jc w:val="left"/>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2640"/>
        <w:gridCol w:w="1200"/>
        <w:gridCol w:w="1200"/>
        <w:gridCol w:w="1200"/>
      </w:tblGrid>
      <w:tr>
        <w:trPr>
          <w:trHeight w:val="225" w:hRule="atLeast"/>
        </w:trPr>
        <w:tc>
          <w:tcPr>
            <w:tcW w:w="1200" w:type="dxa"/>
          </w:tcPr>
          <w:p>
            <w:pPr>
              <w:pStyle w:val="TableParagraph"/>
              <w:spacing w:line="175" w:lineRule="exact" w:before="30"/>
              <w:ind w:left="413" w:right="406"/>
              <w:jc w:val="center"/>
              <w:rPr>
                <w:sz w:val="16"/>
              </w:rPr>
            </w:pPr>
            <w:r>
              <w:rPr>
                <w:sz w:val="16"/>
              </w:rPr>
              <w:t>Año</w:t>
            </w:r>
          </w:p>
        </w:tc>
        <w:tc>
          <w:tcPr>
            <w:tcW w:w="2640" w:type="dxa"/>
          </w:tcPr>
          <w:p>
            <w:pPr>
              <w:pStyle w:val="TableParagraph"/>
              <w:spacing w:line="175" w:lineRule="exact" w:before="30"/>
              <w:ind w:left="338"/>
              <w:rPr>
                <w:sz w:val="16"/>
              </w:rPr>
            </w:pPr>
            <w:r>
              <w:rPr>
                <w:sz w:val="16"/>
              </w:rPr>
              <w:t>Ayuntamiento de Los Realejos</w:t>
            </w:r>
          </w:p>
        </w:tc>
        <w:tc>
          <w:tcPr>
            <w:tcW w:w="1200" w:type="dxa"/>
          </w:tcPr>
          <w:p>
            <w:pPr>
              <w:pStyle w:val="TableParagraph"/>
              <w:spacing w:line="175" w:lineRule="exact" w:before="30"/>
              <w:ind w:left="215"/>
              <w:rPr>
                <w:sz w:val="16"/>
              </w:rPr>
            </w:pPr>
            <w:r>
              <w:rPr>
                <w:sz w:val="16"/>
              </w:rPr>
              <w:t>Saldo inicial</w:t>
            </w:r>
          </w:p>
        </w:tc>
        <w:tc>
          <w:tcPr>
            <w:tcW w:w="1200" w:type="dxa"/>
          </w:tcPr>
          <w:p>
            <w:pPr>
              <w:pStyle w:val="TableParagraph"/>
              <w:spacing w:line="175" w:lineRule="exact" w:before="30"/>
              <w:ind w:left="280"/>
              <w:rPr>
                <w:sz w:val="16"/>
              </w:rPr>
            </w:pPr>
            <w:r>
              <w:rPr>
                <w:sz w:val="16"/>
              </w:rPr>
              <w:t>Imputado</w:t>
            </w:r>
          </w:p>
        </w:tc>
        <w:tc>
          <w:tcPr>
            <w:tcW w:w="1200" w:type="dxa"/>
          </w:tcPr>
          <w:p>
            <w:pPr>
              <w:pStyle w:val="TableParagraph"/>
              <w:spacing w:line="175" w:lineRule="exact" w:before="30"/>
              <w:ind w:left="261"/>
              <w:rPr>
                <w:sz w:val="16"/>
              </w:rPr>
            </w:pPr>
            <w:r>
              <w:rPr>
                <w:sz w:val="16"/>
              </w:rPr>
              <w:t>Saldo final</w:t>
            </w:r>
          </w:p>
        </w:tc>
      </w:tr>
      <w:tr>
        <w:trPr>
          <w:trHeight w:val="225" w:hRule="atLeast"/>
        </w:trPr>
        <w:tc>
          <w:tcPr>
            <w:tcW w:w="1200" w:type="dxa"/>
          </w:tcPr>
          <w:p>
            <w:pPr>
              <w:pStyle w:val="TableParagraph"/>
              <w:spacing w:line="175" w:lineRule="exact" w:before="30"/>
              <w:ind w:left="414" w:right="405"/>
              <w:jc w:val="center"/>
              <w:rPr>
                <w:sz w:val="16"/>
              </w:rPr>
            </w:pPr>
            <w:r>
              <w:rPr>
                <w:sz w:val="16"/>
              </w:rPr>
              <w:t>2012</w:t>
            </w:r>
          </w:p>
        </w:tc>
        <w:tc>
          <w:tcPr>
            <w:tcW w:w="2640" w:type="dxa"/>
          </w:tcPr>
          <w:p>
            <w:pPr>
              <w:pStyle w:val="TableParagraph"/>
              <w:spacing w:line="175" w:lineRule="exact" w:before="30"/>
              <w:ind w:right="55"/>
              <w:jc w:val="right"/>
              <w:rPr>
                <w:sz w:val="16"/>
              </w:rPr>
            </w:pPr>
            <w:r>
              <w:rPr>
                <w:sz w:val="16"/>
              </w:rPr>
              <w:t>1.950,00</w:t>
            </w:r>
          </w:p>
        </w:tc>
        <w:tc>
          <w:tcPr>
            <w:tcW w:w="1200" w:type="dxa"/>
          </w:tcPr>
          <w:p>
            <w:pPr>
              <w:pStyle w:val="TableParagraph"/>
              <w:spacing w:line="175" w:lineRule="exact" w:before="30"/>
              <w:ind w:right="55"/>
              <w:jc w:val="right"/>
              <w:rPr>
                <w:sz w:val="16"/>
              </w:rPr>
            </w:pPr>
            <w:r>
              <w:rPr>
                <w:sz w:val="16"/>
              </w:rPr>
              <w:t>0,00</w:t>
            </w:r>
          </w:p>
        </w:tc>
        <w:tc>
          <w:tcPr>
            <w:tcW w:w="1200" w:type="dxa"/>
          </w:tcPr>
          <w:p>
            <w:pPr>
              <w:pStyle w:val="TableParagraph"/>
              <w:spacing w:line="175" w:lineRule="exact" w:before="30"/>
              <w:ind w:right="55"/>
              <w:jc w:val="right"/>
              <w:rPr>
                <w:sz w:val="16"/>
              </w:rPr>
            </w:pPr>
            <w:r>
              <w:rPr>
                <w:sz w:val="16"/>
              </w:rPr>
              <w:t>0,00</w:t>
            </w:r>
          </w:p>
        </w:tc>
        <w:tc>
          <w:tcPr>
            <w:tcW w:w="1200" w:type="dxa"/>
          </w:tcPr>
          <w:p>
            <w:pPr>
              <w:pStyle w:val="TableParagraph"/>
              <w:spacing w:line="175" w:lineRule="exact" w:before="30"/>
              <w:ind w:right="55"/>
              <w:jc w:val="right"/>
              <w:rPr>
                <w:sz w:val="16"/>
              </w:rPr>
            </w:pPr>
            <w:r>
              <w:rPr>
                <w:sz w:val="16"/>
              </w:rPr>
              <w:t>0,00</w:t>
            </w:r>
          </w:p>
        </w:tc>
      </w:tr>
      <w:tr>
        <w:trPr>
          <w:trHeight w:val="225" w:hRule="atLeast"/>
        </w:trPr>
        <w:tc>
          <w:tcPr>
            <w:tcW w:w="1200" w:type="dxa"/>
          </w:tcPr>
          <w:p>
            <w:pPr>
              <w:pStyle w:val="TableParagraph"/>
              <w:spacing w:line="175" w:lineRule="exact" w:before="30"/>
              <w:ind w:left="414" w:right="405"/>
              <w:jc w:val="center"/>
              <w:rPr>
                <w:sz w:val="16"/>
              </w:rPr>
            </w:pPr>
            <w:r>
              <w:rPr>
                <w:sz w:val="16"/>
              </w:rPr>
              <w:t>2013</w:t>
            </w:r>
          </w:p>
        </w:tc>
        <w:tc>
          <w:tcPr>
            <w:tcW w:w="2640" w:type="dxa"/>
          </w:tcPr>
          <w:p>
            <w:pPr>
              <w:pStyle w:val="TableParagraph"/>
              <w:spacing w:line="175" w:lineRule="exact" w:before="30"/>
              <w:ind w:right="55"/>
              <w:jc w:val="right"/>
              <w:rPr>
                <w:sz w:val="16"/>
              </w:rPr>
            </w:pPr>
            <w:r>
              <w:rPr>
                <w:sz w:val="16"/>
              </w:rPr>
              <w:t>2.500,00</w:t>
            </w:r>
          </w:p>
        </w:tc>
        <w:tc>
          <w:tcPr>
            <w:tcW w:w="1200" w:type="dxa"/>
          </w:tcPr>
          <w:p>
            <w:pPr>
              <w:pStyle w:val="TableParagraph"/>
              <w:spacing w:line="175" w:lineRule="exact" w:before="30"/>
              <w:ind w:right="55"/>
              <w:jc w:val="right"/>
              <w:rPr>
                <w:sz w:val="16"/>
              </w:rPr>
            </w:pPr>
            <w:r>
              <w:rPr>
                <w:sz w:val="16"/>
              </w:rPr>
              <w:t>281,24</w:t>
            </w:r>
          </w:p>
        </w:tc>
        <w:tc>
          <w:tcPr>
            <w:tcW w:w="1200" w:type="dxa"/>
          </w:tcPr>
          <w:p>
            <w:pPr>
              <w:pStyle w:val="TableParagraph"/>
              <w:spacing w:line="175" w:lineRule="exact" w:before="30"/>
              <w:ind w:right="55"/>
              <w:jc w:val="right"/>
              <w:rPr>
                <w:sz w:val="16"/>
              </w:rPr>
            </w:pPr>
            <w:r>
              <w:rPr>
                <w:sz w:val="16"/>
              </w:rPr>
              <w:t>249,50</w:t>
            </w:r>
          </w:p>
        </w:tc>
        <w:tc>
          <w:tcPr>
            <w:tcW w:w="1200" w:type="dxa"/>
          </w:tcPr>
          <w:p>
            <w:pPr>
              <w:pStyle w:val="TableParagraph"/>
              <w:spacing w:line="175" w:lineRule="exact" w:before="30"/>
              <w:ind w:right="55"/>
              <w:jc w:val="right"/>
              <w:rPr>
                <w:sz w:val="16"/>
              </w:rPr>
            </w:pPr>
            <w:r>
              <w:rPr>
                <w:sz w:val="16"/>
              </w:rPr>
              <w:t>31,74</w:t>
            </w:r>
          </w:p>
        </w:tc>
      </w:tr>
      <w:tr>
        <w:trPr>
          <w:trHeight w:val="225" w:hRule="atLeast"/>
        </w:trPr>
        <w:tc>
          <w:tcPr>
            <w:tcW w:w="1200" w:type="dxa"/>
          </w:tcPr>
          <w:p>
            <w:pPr>
              <w:pStyle w:val="TableParagraph"/>
              <w:spacing w:line="178" w:lineRule="exact" w:before="27"/>
              <w:ind w:left="414" w:right="405"/>
              <w:jc w:val="center"/>
              <w:rPr>
                <w:sz w:val="16"/>
              </w:rPr>
            </w:pPr>
            <w:r>
              <w:rPr>
                <w:sz w:val="16"/>
              </w:rPr>
              <w:t>2014</w:t>
            </w:r>
          </w:p>
        </w:tc>
        <w:tc>
          <w:tcPr>
            <w:tcW w:w="2640" w:type="dxa"/>
          </w:tcPr>
          <w:p>
            <w:pPr>
              <w:pStyle w:val="TableParagraph"/>
              <w:spacing w:line="178" w:lineRule="exact" w:before="27"/>
              <w:ind w:right="55"/>
              <w:jc w:val="right"/>
              <w:rPr>
                <w:sz w:val="16"/>
              </w:rPr>
            </w:pPr>
            <w:r>
              <w:rPr>
                <w:sz w:val="16"/>
              </w:rPr>
              <w:t>2.500,00</w:t>
            </w:r>
          </w:p>
        </w:tc>
        <w:tc>
          <w:tcPr>
            <w:tcW w:w="1200" w:type="dxa"/>
          </w:tcPr>
          <w:p>
            <w:pPr>
              <w:pStyle w:val="TableParagraph"/>
              <w:spacing w:line="178" w:lineRule="exact" w:before="27"/>
              <w:ind w:right="55"/>
              <w:jc w:val="right"/>
              <w:rPr>
                <w:sz w:val="16"/>
              </w:rPr>
            </w:pPr>
            <w:r>
              <w:rPr>
                <w:sz w:val="16"/>
              </w:rPr>
              <w:t>237,80</w:t>
            </w:r>
          </w:p>
        </w:tc>
        <w:tc>
          <w:tcPr>
            <w:tcW w:w="1200" w:type="dxa"/>
          </w:tcPr>
          <w:p>
            <w:pPr>
              <w:pStyle w:val="TableParagraph"/>
              <w:spacing w:line="178" w:lineRule="exact" w:before="27"/>
              <w:ind w:right="55"/>
              <w:jc w:val="right"/>
              <w:rPr>
                <w:sz w:val="16"/>
              </w:rPr>
            </w:pPr>
            <w:r>
              <w:rPr>
                <w:sz w:val="16"/>
              </w:rPr>
              <w:t>214,47</w:t>
            </w:r>
          </w:p>
        </w:tc>
        <w:tc>
          <w:tcPr>
            <w:tcW w:w="1200" w:type="dxa"/>
          </w:tcPr>
          <w:p>
            <w:pPr>
              <w:pStyle w:val="TableParagraph"/>
              <w:spacing w:line="178" w:lineRule="exact" w:before="27"/>
              <w:ind w:right="55"/>
              <w:jc w:val="right"/>
              <w:rPr>
                <w:sz w:val="16"/>
              </w:rPr>
            </w:pPr>
            <w:r>
              <w:rPr>
                <w:sz w:val="16"/>
              </w:rPr>
              <w:t>23,33</w:t>
            </w:r>
          </w:p>
        </w:tc>
      </w:tr>
      <w:tr>
        <w:trPr>
          <w:trHeight w:val="225" w:hRule="atLeast"/>
        </w:trPr>
        <w:tc>
          <w:tcPr>
            <w:tcW w:w="1200" w:type="dxa"/>
          </w:tcPr>
          <w:p>
            <w:pPr>
              <w:pStyle w:val="TableParagraph"/>
              <w:spacing w:line="178" w:lineRule="exact" w:before="27"/>
              <w:ind w:left="414" w:right="405"/>
              <w:jc w:val="center"/>
              <w:rPr>
                <w:sz w:val="16"/>
              </w:rPr>
            </w:pPr>
            <w:r>
              <w:rPr>
                <w:sz w:val="16"/>
              </w:rPr>
              <w:t>2015</w:t>
            </w:r>
          </w:p>
        </w:tc>
        <w:tc>
          <w:tcPr>
            <w:tcW w:w="2640" w:type="dxa"/>
          </w:tcPr>
          <w:p>
            <w:pPr>
              <w:pStyle w:val="TableParagraph"/>
              <w:spacing w:line="178" w:lineRule="exact" w:before="27"/>
              <w:ind w:right="55"/>
              <w:jc w:val="right"/>
              <w:rPr>
                <w:sz w:val="16"/>
              </w:rPr>
            </w:pPr>
            <w:r>
              <w:rPr>
                <w:sz w:val="16"/>
              </w:rPr>
              <w:t>500,00</w:t>
            </w:r>
          </w:p>
        </w:tc>
        <w:tc>
          <w:tcPr>
            <w:tcW w:w="1200" w:type="dxa"/>
          </w:tcPr>
          <w:p>
            <w:pPr>
              <w:pStyle w:val="TableParagraph"/>
              <w:spacing w:line="178" w:lineRule="exact" w:before="27"/>
              <w:ind w:right="55"/>
              <w:jc w:val="right"/>
              <w:rPr>
                <w:sz w:val="16"/>
              </w:rPr>
            </w:pPr>
            <w:r>
              <w:rPr>
                <w:sz w:val="16"/>
              </w:rPr>
              <w:t>86,09</w:t>
            </w:r>
          </w:p>
        </w:tc>
        <w:tc>
          <w:tcPr>
            <w:tcW w:w="1200" w:type="dxa"/>
          </w:tcPr>
          <w:p>
            <w:pPr>
              <w:pStyle w:val="TableParagraph"/>
              <w:spacing w:line="178" w:lineRule="exact" w:before="27"/>
              <w:ind w:right="55"/>
              <w:jc w:val="right"/>
              <w:rPr>
                <w:sz w:val="16"/>
              </w:rPr>
            </w:pPr>
            <w:r>
              <w:rPr>
                <w:sz w:val="16"/>
              </w:rPr>
              <w:t>47,70</w:t>
            </w:r>
          </w:p>
        </w:tc>
        <w:tc>
          <w:tcPr>
            <w:tcW w:w="1200" w:type="dxa"/>
          </w:tcPr>
          <w:p>
            <w:pPr>
              <w:pStyle w:val="TableParagraph"/>
              <w:spacing w:line="178" w:lineRule="exact" w:before="27"/>
              <w:ind w:right="55"/>
              <w:jc w:val="right"/>
              <w:rPr>
                <w:sz w:val="16"/>
              </w:rPr>
            </w:pPr>
            <w:r>
              <w:rPr>
                <w:sz w:val="16"/>
              </w:rPr>
              <w:t>38,39</w:t>
            </w:r>
          </w:p>
        </w:tc>
      </w:tr>
      <w:tr>
        <w:trPr>
          <w:trHeight w:val="225" w:hRule="atLeast"/>
        </w:trPr>
        <w:tc>
          <w:tcPr>
            <w:tcW w:w="1200" w:type="dxa"/>
          </w:tcPr>
          <w:p>
            <w:pPr>
              <w:pStyle w:val="TableParagraph"/>
              <w:spacing w:line="178" w:lineRule="exact" w:before="27"/>
              <w:ind w:left="414" w:right="406"/>
              <w:jc w:val="center"/>
              <w:rPr>
                <w:sz w:val="16"/>
              </w:rPr>
            </w:pPr>
            <w:r>
              <w:rPr>
                <w:sz w:val="16"/>
              </w:rPr>
              <w:t>Total</w:t>
            </w:r>
          </w:p>
        </w:tc>
        <w:tc>
          <w:tcPr>
            <w:tcW w:w="2640" w:type="dxa"/>
          </w:tcPr>
          <w:p>
            <w:pPr>
              <w:pStyle w:val="TableParagraph"/>
              <w:spacing w:line="178" w:lineRule="exact" w:before="27"/>
              <w:ind w:right="55"/>
              <w:jc w:val="right"/>
              <w:rPr>
                <w:sz w:val="16"/>
              </w:rPr>
            </w:pPr>
            <w:r>
              <w:rPr>
                <w:sz w:val="16"/>
              </w:rPr>
              <w:t>7.450,00</w:t>
            </w:r>
          </w:p>
        </w:tc>
        <w:tc>
          <w:tcPr>
            <w:tcW w:w="1200" w:type="dxa"/>
          </w:tcPr>
          <w:p>
            <w:pPr>
              <w:pStyle w:val="TableParagraph"/>
              <w:spacing w:line="178" w:lineRule="exact" w:before="27"/>
              <w:ind w:right="55"/>
              <w:jc w:val="right"/>
              <w:rPr>
                <w:sz w:val="16"/>
              </w:rPr>
            </w:pPr>
            <w:r>
              <w:rPr>
                <w:sz w:val="16"/>
              </w:rPr>
              <w:t>605,13</w:t>
            </w:r>
          </w:p>
        </w:tc>
        <w:tc>
          <w:tcPr>
            <w:tcW w:w="1200" w:type="dxa"/>
          </w:tcPr>
          <w:p>
            <w:pPr>
              <w:pStyle w:val="TableParagraph"/>
              <w:spacing w:line="178" w:lineRule="exact" w:before="27"/>
              <w:ind w:right="55"/>
              <w:jc w:val="right"/>
              <w:rPr>
                <w:sz w:val="16"/>
              </w:rPr>
            </w:pPr>
            <w:r>
              <w:rPr>
                <w:sz w:val="16"/>
              </w:rPr>
              <w:t>511,67</w:t>
            </w:r>
          </w:p>
        </w:tc>
        <w:tc>
          <w:tcPr>
            <w:tcW w:w="1200" w:type="dxa"/>
          </w:tcPr>
          <w:p>
            <w:pPr>
              <w:pStyle w:val="TableParagraph"/>
              <w:spacing w:line="178" w:lineRule="exact" w:before="27"/>
              <w:ind w:right="55"/>
              <w:jc w:val="right"/>
              <w:rPr>
                <w:sz w:val="16"/>
              </w:rPr>
            </w:pPr>
            <w:r>
              <w:rPr>
                <w:sz w:val="16"/>
              </w:rPr>
              <w:t>93,46</w:t>
            </w:r>
          </w:p>
        </w:tc>
      </w:tr>
    </w:tbl>
    <w:p>
      <w:pPr>
        <w:pStyle w:val="BodyText"/>
        <w:spacing w:before="5" w:after="1"/>
        <w:rPr>
          <w:sz w:val="18"/>
        </w:rPr>
      </w:pPr>
    </w:p>
    <w:tbl>
      <w:tblPr>
        <w:tblW w:w="0" w:type="auto"/>
        <w:jc w:val="left"/>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00"/>
        <w:gridCol w:w="2640"/>
        <w:gridCol w:w="1200"/>
        <w:gridCol w:w="1200"/>
        <w:gridCol w:w="1200"/>
      </w:tblGrid>
      <w:tr>
        <w:trPr>
          <w:trHeight w:val="222" w:hRule="atLeast"/>
        </w:trPr>
        <w:tc>
          <w:tcPr>
            <w:tcW w:w="1200" w:type="dxa"/>
          </w:tcPr>
          <w:p>
            <w:pPr>
              <w:pStyle w:val="TableParagraph"/>
              <w:spacing w:line="175" w:lineRule="exact" w:before="27"/>
              <w:ind w:left="413" w:right="406"/>
              <w:jc w:val="center"/>
              <w:rPr>
                <w:sz w:val="16"/>
              </w:rPr>
            </w:pPr>
            <w:r>
              <w:rPr>
                <w:sz w:val="16"/>
              </w:rPr>
              <w:t>Año</w:t>
            </w:r>
          </w:p>
        </w:tc>
        <w:tc>
          <w:tcPr>
            <w:tcW w:w="2640" w:type="dxa"/>
          </w:tcPr>
          <w:p>
            <w:pPr>
              <w:pStyle w:val="TableParagraph"/>
              <w:spacing w:line="175" w:lineRule="exact" w:before="27"/>
              <w:ind w:left="174"/>
              <w:rPr>
                <w:sz w:val="16"/>
              </w:rPr>
            </w:pPr>
            <w:r>
              <w:rPr>
                <w:sz w:val="16"/>
              </w:rPr>
              <w:t>Ayuntamiento de Icod de Los Vinos</w:t>
            </w:r>
          </w:p>
        </w:tc>
        <w:tc>
          <w:tcPr>
            <w:tcW w:w="1200" w:type="dxa"/>
          </w:tcPr>
          <w:p>
            <w:pPr>
              <w:pStyle w:val="TableParagraph"/>
              <w:spacing w:line="175" w:lineRule="exact" w:before="27"/>
              <w:ind w:left="215"/>
              <w:rPr>
                <w:sz w:val="16"/>
              </w:rPr>
            </w:pPr>
            <w:r>
              <w:rPr>
                <w:sz w:val="16"/>
              </w:rPr>
              <w:t>Saldo inicial</w:t>
            </w:r>
          </w:p>
        </w:tc>
        <w:tc>
          <w:tcPr>
            <w:tcW w:w="1200" w:type="dxa"/>
          </w:tcPr>
          <w:p>
            <w:pPr>
              <w:pStyle w:val="TableParagraph"/>
              <w:spacing w:line="175" w:lineRule="exact" w:before="27"/>
              <w:ind w:left="280"/>
              <w:rPr>
                <w:sz w:val="16"/>
              </w:rPr>
            </w:pPr>
            <w:r>
              <w:rPr>
                <w:sz w:val="16"/>
              </w:rPr>
              <w:t>Imputado</w:t>
            </w:r>
          </w:p>
        </w:tc>
        <w:tc>
          <w:tcPr>
            <w:tcW w:w="1200" w:type="dxa"/>
          </w:tcPr>
          <w:p>
            <w:pPr>
              <w:pStyle w:val="TableParagraph"/>
              <w:spacing w:line="175" w:lineRule="exact" w:before="27"/>
              <w:ind w:left="261"/>
              <w:rPr>
                <w:sz w:val="16"/>
              </w:rPr>
            </w:pPr>
            <w:r>
              <w:rPr>
                <w:sz w:val="16"/>
              </w:rPr>
              <w:t>Saldo final</w:t>
            </w:r>
          </w:p>
        </w:tc>
      </w:tr>
      <w:tr>
        <w:trPr>
          <w:trHeight w:val="225" w:hRule="atLeast"/>
        </w:trPr>
        <w:tc>
          <w:tcPr>
            <w:tcW w:w="1200" w:type="dxa"/>
          </w:tcPr>
          <w:p>
            <w:pPr>
              <w:pStyle w:val="TableParagraph"/>
              <w:spacing w:line="175" w:lineRule="exact" w:before="30"/>
              <w:ind w:left="414" w:right="405"/>
              <w:jc w:val="center"/>
              <w:rPr>
                <w:sz w:val="16"/>
              </w:rPr>
            </w:pPr>
            <w:r>
              <w:rPr>
                <w:sz w:val="16"/>
              </w:rPr>
              <w:t>2012</w:t>
            </w:r>
          </w:p>
        </w:tc>
        <w:tc>
          <w:tcPr>
            <w:tcW w:w="2640" w:type="dxa"/>
          </w:tcPr>
          <w:p>
            <w:pPr>
              <w:pStyle w:val="TableParagraph"/>
              <w:spacing w:line="175" w:lineRule="exact" w:before="30"/>
              <w:ind w:right="55"/>
              <w:jc w:val="right"/>
              <w:rPr>
                <w:sz w:val="16"/>
              </w:rPr>
            </w:pPr>
            <w:r>
              <w:rPr>
                <w:sz w:val="16"/>
              </w:rPr>
              <w:t>650,00</w:t>
            </w:r>
          </w:p>
        </w:tc>
        <w:tc>
          <w:tcPr>
            <w:tcW w:w="1200" w:type="dxa"/>
          </w:tcPr>
          <w:p>
            <w:pPr>
              <w:pStyle w:val="TableParagraph"/>
              <w:spacing w:line="175" w:lineRule="exact" w:before="30"/>
              <w:ind w:right="55"/>
              <w:jc w:val="right"/>
              <w:rPr>
                <w:sz w:val="16"/>
              </w:rPr>
            </w:pPr>
            <w:r>
              <w:rPr>
                <w:sz w:val="16"/>
              </w:rPr>
              <w:t>0,00</w:t>
            </w:r>
          </w:p>
        </w:tc>
        <w:tc>
          <w:tcPr>
            <w:tcW w:w="1200" w:type="dxa"/>
          </w:tcPr>
          <w:p>
            <w:pPr>
              <w:pStyle w:val="TableParagraph"/>
              <w:spacing w:line="175" w:lineRule="exact" w:before="30"/>
              <w:ind w:right="55"/>
              <w:jc w:val="right"/>
              <w:rPr>
                <w:sz w:val="16"/>
              </w:rPr>
            </w:pPr>
            <w:r>
              <w:rPr>
                <w:sz w:val="16"/>
              </w:rPr>
              <w:t>0,00</w:t>
            </w:r>
          </w:p>
        </w:tc>
        <w:tc>
          <w:tcPr>
            <w:tcW w:w="1200" w:type="dxa"/>
          </w:tcPr>
          <w:p>
            <w:pPr>
              <w:pStyle w:val="TableParagraph"/>
              <w:spacing w:line="175" w:lineRule="exact" w:before="30"/>
              <w:ind w:right="55"/>
              <w:jc w:val="right"/>
              <w:rPr>
                <w:sz w:val="16"/>
              </w:rPr>
            </w:pPr>
            <w:r>
              <w:rPr>
                <w:sz w:val="16"/>
              </w:rPr>
              <w:t>0,00</w:t>
            </w:r>
          </w:p>
        </w:tc>
      </w:tr>
      <w:tr>
        <w:trPr>
          <w:trHeight w:val="225" w:hRule="atLeast"/>
        </w:trPr>
        <w:tc>
          <w:tcPr>
            <w:tcW w:w="1200" w:type="dxa"/>
          </w:tcPr>
          <w:p>
            <w:pPr>
              <w:pStyle w:val="TableParagraph"/>
              <w:spacing w:line="175" w:lineRule="exact" w:before="30"/>
              <w:ind w:left="414" w:right="405"/>
              <w:jc w:val="center"/>
              <w:rPr>
                <w:sz w:val="16"/>
              </w:rPr>
            </w:pPr>
            <w:r>
              <w:rPr>
                <w:sz w:val="16"/>
              </w:rPr>
              <w:t>2013</w:t>
            </w:r>
          </w:p>
        </w:tc>
        <w:tc>
          <w:tcPr>
            <w:tcW w:w="2640" w:type="dxa"/>
          </w:tcPr>
          <w:p>
            <w:pPr>
              <w:pStyle w:val="TableParagraph"/>
              <w:spacing w:line="175" w:lineRule="exact" w:before="30"/>
              <w:ind w:right="55"/>
              <w:jc w:val="right"/>
              <w:rPr>
                <w:sz w:val="16"/>
              </w:rPr>
            </w:pPr>
            <w:r>
              <w:rPr>
                <w:sz w:val="16"/>
              </w:rPr>
              <w:t>150,00</w:t>
            </w:r>
          </w:p>
        </w:tc>
        <w:tc>
          <w:tcPr>
            <w:tcW w:w="1200" w:type="dxa"/>
          </w:tcPr>
          <w:p>
            <w:pPr>
              <w:pStyle w:val="TableParagraph"/>
              <w:spacing w:line="175" w:lineRule="exact" w:before="30"/>
              <w:ind w:right="55"/>
              <w:jc w:val="right"/>
              <w:rPr>
                <w:sz w:val="16"/>
              </w:rPr>
            </w:pPr>
            <w:r>
              <w:rPr>
                <w:sz w:val="16"/>
              </w:rPr>
              <w:t>33,75</w:t>
            </w:r>
          </w:p>
        </w:tc>
        <w:tc>
          <w:tcPr>
            <w:tcW w:w="1200" w:type="dxa"/>
          </w:tcPr>
          <w:p>
            <w:pPr>
              <w:pStyle w:val="TableParagraph"/>
              <w:spacing w:line="175" w:lineRule="exact" w:before="30"/>
              <w:ind w:right="55"/>
              <w:jc w:val="right"/>
              <w:rPr>
                <w:sz w:val="16"/>
              </w:rPr>
            </w:pPr>
            <w:r>
              <w:rPr>
                <w:sz w:val="16"/>
              </w:rPr>
              <w:t>14,84</w:t>
            </w:r>
          </w:p>
        </w:tc>
        <w:tc>
          <w:tcPr>
            <w:tcW w:w="1200" w:type="dxa"/>
          </w:tcPr>
          <w:p>
            <w:pPr>
              <w:pStyle w:val="TableParagraph"/>
              <w:spacing w:line="175" w:lineRule="exact" w:before="30"/>
              <w:ind w:right="55"/>
              <w:jc w:val="right"/>
              <w:rPr>
                <w:sz w:val="16"/>
              </w:rPr>
            </w:pPr>
            <w:r>
              <w:rPr>
                <w:sz w:val="16"/>
              </w:rPr>
              <w:t>18,91</w:t>
            </w:r>
          </w:p>
        </w:tc>
      </w:tr>
      <w:tr>
        <w:trPr>
          <w:trHeight w:val="225" w:hRule="atLeast"/>
        </w:trPr>
        <w:tc>
          <w:tcPr>
            <w:tcW w:w="1200" w:type="dxa"/>
          </w:tcPr>
          <w:p>
            <w:pPr>
              <w:pStyle w:val="TableParagraph"/>
              <w:spacing w:line="175" w:lineRule="exact" w:before="30"/>
              <w:ind w:left="414" w:right="405"/>
              <w:jc w:val="center"/>
              <w:rPr>
                <w:sz w:val="16"/>
              </w:rPr>
            </w:pPr>
            <w:r>
              <w:rPr>
                <w:sz w:val="16"/>
              </w:rPr>
              <w:t>2014</w:t>
            </w:r>
          </w:p>
        </w:tc>
        <w:tc>
          <w:tcPr>
            <w:tcW w:w="2640" w:type="dxa"/>
          </w:tcPr>
          <w:p>
            <w:pPr>
              <w:pStyle w:val="TableParagraph"/>
              <w:spacing w:line="175" w:lineRule="exact" w:before="30"/>
              <w:ind w:right="55"/>
              <w:jc w:val="right"/>
              <w:rPr>
                <w:sz w:val="16"/>
              </w:rPr>
            </w:pPr>
            <w:r>
              <w:rPr>
                <w:sz w:val="16"/>
              </w:rPr>
              <w:t>15,00</w:t>
            </w:r>
          </w:p>
        </w:tc>
        <w:tc>
          <w:tcPr>
            <w:tcW w:w="1200" w:type="dxa"/>
          </w:tcPr>
          <w:p>
            <w:pPr>
              <w:pStyle w:val="TableParagraph"/>
              <w:spacing w:line="175" w:lineRule="exact" w:before="30"/>
              <w:ind w:right="55"/>
              <w:jc w:val="right"/>
              <w:rPr>
                <w:sz w:val="16"/>
              </w:rPr>
            </w:pPr>
            <w:r>
              <w:rPr>
                <w:sz w:val="16"/>
              </w:rPr>
              <w:t>20,00</w:t>
            </w:r>
          </w:p>
        </w:tc>
        <w:tc>
          <w:tcPr>
            <w:tcW w:w="1200" w:type="dxa"/>
          </w:tcPr>
          <w:p>
            <w:pPr>
              <w:pStyle w:val="TableParagraph"/>
              <w:spacing w:line="175" w:lineRule="exact" w:before="30"/>
              <w:ind w:right="55"/>
              <w:jc w:val="right"/>
              <w:rPr>
                <w:sz w:val="16"/>
              </w:rPr>
            </w:pPr>
            <w:r>
              <w:rPr>
                <w:sz w:val="16"/>
              </w:rPr>
              <w:t>15,00</w:t>
            </w:r>
          </w:p>
        </w:tc>
        <w:tc>
          <w:tcPr>
            <w:tcW w:w="1200" w:type="dxa"/>
          </w:tcPr>
          <w:p>
            <w:pPr>
              <w:pStyle w:val="TableParagraph"/>
              <w:spacing w:line="175" w:lineRule="exact" w:before="30"/>
              <w:ind w:right="55"/>
              <w:jc w:val="right"/>
              <w:rPr>
                <w:sz w:val="16"/>
              </w:rPr>
            </w:pPr>
            <w:r>
              <w:rPr>
                <w:sz w:val="16"/>
              </w:rPr>
              <w:t>5,00</w:t>
            </w:r>
          </w:p>
        </w:tc>
      </w:tr>
      <w:tr>
        <w:trPr>
          <w:trHeight w:val="225" w:hRule="atLeast"/>
        </w:trPr>
        <w:tc>
          <w:tcPr>
            <w:tcW w:w="1200" w:type="dxa"/>
          </w:tcPr>
          <w:p>
            <w:pPr>
              <w:pStyle w:val="TableParagraph"/>
              <w:spacing w:line="175" w:lineRule="exact" w:before="30"/>
              <w:ind w:left="414" w:right="406"/>
              <w:jc w:val="center"/>
              <w:rPr>
                <w:sz w:val="16"/>
              </w:rPr>
            </w:pPr>
            <w:r>
              <w:rPr>
                <w:sz w:val="16"/>
              </w:rPr>
              <w:t>Total</w:t>
            </w:r>
          </w:p>
        </w:tc>
        <w:tc>
          <w:tcPr>
            <w:tcW w:w="2640" w:type="dxa"/>
          </w:tcPr>
          <w:p>
            <w:pPr>
              <w:pStyle w:val="TableParagraph"/>
              <w:spacing w:line="175" w:lineRule="exact" w:before="30"/>
              <w:ind w:right="55"/>
              <w:jc w:val="right"/>
              <w:rPr>
                <w:sz w:val="16"/>
              </w:rPr>
            </w:pPr>
            <w:r>
              <w:rPr>
                <w:sz w:val="16"/>
              </w:rPr>
              <w:t>950,00</w:t>
            </w:r>
          </w:p>
        </w:tc>
        <w:tc>
          <w:tcPr>
            <w:tcW w:w="1200" w:type="dxa"/>
          </w:tcPr>
          <w:p>
            <w:pPr>
              <w:pStyle w:val="TableParagraph"/>
              <w:spacing w:line="175" w:lineRule="exact" w:before="30"/>
              <w:ind w:right="55"/>
              <w:jc w:val="right"/>
              <w:rPr>
                <w:sz w:val="16"/>
              </w:rPr>
            </w:pPr>
            <w:r>
              <w:rPr>
                <w:sz w:val="16"/>
              </w:rPr>
              <w:t>53,75</w:t>
            </w:r>
          </w:p>
        </w:tc>
        <w:tc>
          <w:tcPr>
            <w:tcW w:w="1200" w:type="dxa"/>
          </w:tcPr>
          <w:p>
            <w:pPr>
              <w:pStyle w:val="TableParagraph"/>
              <w:spacing w:line="175" w:lineRule="exact" w:before="30"/>
              <w:ind w:right="55"/>
              <w:jc w:val="right"/>
              <w:rPr>
                <w:sz w:val="16"/>
              </w:rPr>
            </w:pPr>
            <w:r>
              <w:rPr>
                <w:sz w:val="16"/>
              </w:rPr>
              <w:t>29,84</w:t>
            </w:r>
          </w:p>
        </w:tc>
        <w:tc>
          <w:tcPr>
            <w:tcW w:w="1200" w:type="dxa"/>
          </w:tcPr>
          <w:p>
            <w:pPr>
              <w:pStyle w:val="TableParagraph"/>
              <w:spacing w:line="175" w:lineRule="exact" w:before="30"/>
              <w:ind w:right="55"/>
              <w:jc w:val="right"/>
              <w:rPr>
                <w:sz w:val="16"/>
              </w:rPr>
            </w:pPr>
            <w:r>
              <w:rPr>
                <w:sz w:val="16"/>
              </w:rPr>
              <w:t>23,91</w:t>
            </w:r>
          </w:p>
        </w:tc>
      </w:tr>
    </w:tbl>
    <w:p>
      <w:pPr>
        <w:pStyle w:val="BodyText"/>
        <w:rPr>
          <w:sz w:val="18"/>
        </w:rPr>
      </w:pPr>
    </w:p>
    <w:p>
      <w:pPr>
        <w:pStyle w:val="BodyText"/>
        <w:spacing w:before="3"/>
        <w:rPr>
          <w:sz w:val="20"/>
        </w:rPr>
      </w:pPr>
    </w:p>
    <w:p>
      <w:pPr>
        <w:pStyle w:val="BodyText"/>
        <w:ind w:left="121"/>
      </w:pPr>
      <w:r>
        <w:rPr/>
        <w:t>Las subvenciones recibidas, al cierre del ejercicio anterior 2023, son los siguientes:</w:t>
      </w:r>
    </w:p>
    <w:p>
      <w:pPr>
        <w:pStyle w:val="BodyText"/>
        <w:spacing w:before="2" w:after="1"/>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90"/>
        <w:gridCol w:w="993"/>
        <w:gridCol w:w="1132"/>
        <w:gridCol w:w="993"/>
        <w:gridCol w:w="1274"/>
        <w:gridCol w:w="1135"/>
      </w:tblGrid>
      <w:tr>
        <w:trPr>
          <w:trHeight w:val="225" w:hRule="atLeast"/>
        </w:trPr>
        <w:tc>
          <w:tcPr>
            <w:tcW w:w="8517" w:type="dxa"/>
            <w:gridSpan w:val="6"/>
          </w:tcPr>
          <w:p>
            <w:pPr>
              <w:pStyle w:val="TableParagraph"/>
              <w:spacing w:line="175" w:lineRule="exact" w:before="30"/>
              <w:ind w:left="2505" w:right="2491"/>
              <w:jc w:val="center"/>
              <w:rPr>
                <w:sz w:val="16"/>
              </w:rPr>
            </w:pPr>
            <w:r>
              <w:rPr>
                <w:sz w:val="16"/>
              </w:rPr>
              <w:t>SUBVENCIONES, DONACIONES Y LEGADOS RECIBIDAS</w:t>
            </w:r>
          </w:p>
        </w:tc>
      </w:tr>
      <w:tr>
        <w:trPr>
          <w:trHeight w:val="196" w:hRule="atLeast"/>
        </w:trPr>
        <w:tc>
          <w:tcPr>
            <w:tcW w:w="2990" w:type="dxa"/>
            <w:vMerge w:val="restart"/>
          </w:tcPr>
          <w:p>
            <w:pPr>
              <w:pStyle w:val="TableParagraph"/>
              <w:spacing w:before="1"/>
              <w:rPr>
                <w:sz w:val="19"/>
              </w:rPr>
            </w:pPr>
          </w:p>
          <w:p>
            <w:pPr>
              <w:pStyle w:val="TableParagraph"/>
              <w:spacing w:before="1"/>
              <w:ind w:left="1211" w:right="1203"/>
              <w:jc w:val="center"/>
              <w:rPr>
                <w:sz w:val="16"/>
              </w:rPr>
            </w:pPr>
            <w:r>
              <w:rPr>
                <w:sz w:val="16"/>
              </w:rPr>
              <w:t>Cuentas</w:t>
            </w:r>
          </w:p>
        </w:tc>
        <w:tc>
          <w:tcPr>
            <w:tcW w:w="4392" w:type="dxa"/>
            <w:gridSpan w:val="4"/>
          </w:tcPr>
          <w:p>
            <w:pPr>
              <w:pStyle w:val="TableParagraph"/>
              <w:spacing w:line="176" w:lineRule="exact" w:before="0"/>
              <w:ind w:left="1590" w:right="1581"/>
              <w:jc w:val="center"/>
              <w:rPr>
                <w:sz w:val="16"/>
              </w:rPr>
            </w:pPr>
            <w:r>
              <w:rPr>
                <w:sz w:val="16"/>
              </w:rPr>
              <w:t>CARACTERISTICAS</w:t>
            </w:r>
          </w:p>
        </w:tc>
        <w:tc>
          <w:tcPr>
            <w:tcW w:w="1135" w:type="dxa"/>
            <w:vMerge w:val="restart"/>
          </w:tcPr>
          <w:p>
            <w:pPr>
              <w:pStyle w:val="TableParagraph"/>
              <w:spacing w:before="1"/>
              <w:rPr>
                <w:sz w:val="19"/>
              </w:rPr>
            </w:pPr>
          </w:p>
          <w:p>
            <w:pPr>
              <w:pStyle w:val="TableParagraph"/>
              <w:spacing w:before="1"/>
              <w:ind w:left="357"/>
              <w:rPr>
                <w:sz w:val="16"/>
              </w:rPr>
            </w:pPr>
            <w:r>
              <w:rPr>
                <w:sz w:val="16"/>
              </w:rPr>
              <w:t>TOTAL</w:t>
            </w:r>
          </w:p>
        </w:tc>
      </w:tr>
      <w:tr>
        <w:trPr>
          <w:trHeight w:val="225" w:hRule="atLeast"/>
        </w:trPr>
        <w:tc>
          <w:tcPr>
            <w:tcW w:w="2990" w:type="dxa"/>
            <w:vMerge/>
            <w:tcBorders>
              <w:top w:val="nil"/>
            </w:tcBorders>
          </w:tcPr>
          <w:p>
            <w:pPr>
              <w:rPr>
                <w:sz w:val="2"/>
                <w:szCs w:val="2"/>
              </w:rPr>
            </w:pPr>
          </w:p>
        </w:tc>
        <w:tc>
          <w:tcPr>
            <w:tcW w:w="2125" w:type="dxa"/>
            <w:gridSpan w:val="2"/>
          </w:tcPr>
          <w:p>
            <w:pPr>
              <w:pStyle w:val="TableParagraph"/>
              <w:spacing w:line="178" w:lineRule="exact" w:before="27"/>
              <w:ind w:left="441"/>
              <w:rPr>
                <w:sz w:val="16"/>
              </w:rPr>
            </w:pPr>
            <w:r>
              <w:rPr>
                <w:sz w:val="16"/>
              </w:rPr>
              <w:t>ACTIVIDAD PROPIA</w:t>
            </w:r>
          </w:p>
        </w:tc>
        <w:tc>
          <w:tcPr>
            <w:tcW w:w="2267" w:type="dxa"/>
            <w:gridSpan w:val="2"/>
          </w:tcPr>
          <w:p>
            <w:pPr>
              <w:pStyle w:val="TableParagraph"/>
              <w:spacing w:line="178" w:lineRule="exact" w:before="27"/>
              <w:ind w:left="373"/>
              <w:rPr>
                <w:sz w:val="16"/>
              </w:rPr>
            </w:pPr>
            <w:r>
              <w:rPr>
                <w:sz w:val="16"/>
              </w:rPr>
              <w:t>ACTIVIDAD MERCANTIL</w:t>
            </w:r>
          </w:p>
        </w:tc>
        <w:tc>
          <w:tcPr>
            <w:tcW w:w="1135" w:type="dxa"/>
            <w:vMerge/>
            <w:tcBorders>
              <w:top w:val="nil"/>
            </w:tcBorders>
          </w:tcPr>
          <w:p>
            <w:pPr>
              <w:rPr>
                <w:sz w:val="2"/>
                <w:szCs w:val="2"/>
              </w:rPr>
            </w:pPr>
          </w:p>
        </w:tc>
      </w:tr>
      <w:tr>
        <w:trPr>
          <w:trHeight w:val="225" w:hRule="atLeast"/>
        </w:trPr>
        <w:tc>
          <w:tcPr>
            <w:tcW w:w="2990" w:type="dxa"/>
            <w:vMerge/>
            <w:tcBorders>
              <w:top w:val="nil"/>
            </w:tcBorders>
          </w:tcPr>
          <w:p>
            <w:pPr>
              <w:rPr>
                <w:sz w:val="2"/>
                <w:szCs w:val="2"/>
              </w:rPr>
            </w:pPr>
          </w:p>
        </w:tc>
        <w:tc>
          <w:tcPr>
            <w:tcW w:w="993" w:type="dxa"/>
          </w:tcPr>
          <w:p>
            <w:pPr>
              <w:pStyle w:val="TableParagraph"/>
              <w:spacing w:line="178" w:lineRule="exact" w:before="27"/>
              <w:ind w:left="69"/>
              <w:rPr>
                <w:sz w:val="16"/>
              </w:rPr>
            </w:pPr>
            <w:r>
              <w:rPr>
                <w:sz w:val="16"/>
              </w:rPr>
              <w:t>Monetarias</w:t>
            </w:r>
          </w:p>
        </w:tc>
        <w:tc>
          <w:tcPr>
            <w:tcW w:w="1132" w:type="dxa"/>
          </w:tcPr>
          <w:p>
            <w:pPr>
              <w:pStyle w:val="TableParagraph"/>
              <w:spacing w:line="178" w:lineRule="exact" w:before="27"/>
              <w:ind w:left="70"/>
              <w:rPr>
                <w:sz w:val="16"/>
              </w:rPr>
            </w:pPr>
            <w:r>
              <w:rPr>
                <w:sz w:val="16"/>
              </w:rPr>
              <w:t>No Monetarias</w:t>
            </w:r>
          </w:p>
        </w:tc>
        <w:tc>
          <w:tcPr>
            <w:tcW w:w="993" w:type="dxa"/>
          </w:tcPr>
          <w:p>
            <w:pPr>
              <w:pStyle w:val="TableParagraph"/>
              <w:spacing w:line="178" w:lineRule="exact" w:before="27"/>
              <w:ind w:left="71"/>
              <w:rPr>
                <w:sz w:val="16"/>
              </w:rPr>
            </w:pPr>
            <w:r>
              <w:rPr>
                <w:sz w:val="16"/>
              </w:rPr>
              <w:t>Monetarias</w:t>
            </w:r>
          </w:p>
        </w:tc>
        <w:tc>
          <w:tcPr>
            <w:tcW w:w="1274" w:type="dxa"/>
          </w:tcPr>
          <w:p>
            <w:pPr>
              <w:pStyle w:val="TableParagraph"/>
              <w:spacing w:line="178" w:lineRule="exact" w:before="27"/>
              <w:ind w:left="71"/>
              <w:rPr>
                <w:sz w:val="16"/>
              </w:rPr>
            </w:pPr>
            <w:r>
              <w:rPr>
                <w:sz w:val="16"/>
              </w:rPr>
              <w:t>No monetarias</w:t>
            </w:r>
          </w:p>
        </w:tc>
        <w:tc>
          <w:tcPr>
            <w:tcW w:w="1135" w:type="dxa"/>
            <w:vMerge/>
            <w:tcBorders>
              <w:top w:val="nil"/>
            </w:tcBorders>
          </w:tcPr>
          <w:p>
            <w:pPr>
              <w:rPr>
                <w:sz w:val="2"/>
                <w:szCs w:val="2"/>
              </w:rPr>
            </w:pPr>
          </w:p>
        </w:tc>
      </w:tr>
      <w:tr>
        <w:trPr>
          <w:trHeight w:val="222" w:hRule="atLeast"/>
        </w:trPr>
        <w:tc>
          <w:tcPr>
            <w:tcW w:w="2990" w:type="dxa"/>
            <w:vMerge w:val="restart"/>
          </w:tcPr>
          <w:p>
            <w:pPr>
              <w:pStyle w:val="TableParagraph"/>
              <w:spacing w:line="288" w:lineRule="auto" w:before="27"/>
              <w:ind w:left="69" w:right="764"/>
              <w:rPr>
                <w:sz w:val="16"/>
              </w:rPr>
            </w:pPr>
            <w:r>
              <w:rPr>
                <w:sz w:val="16"/>
              </w:rPr>
              <w:t>Subvenciones oficiales de capital Donaciones y legados de capital</w:t>
            </w:r>
          </w:p>
          <w:p>
            <w:pPr>
              <w:pStyle w:val="TableParagraph"/>
              <w:spacing w:line="175" w:lineRule="exact" w:before="2"/>
              <w:ind w:left="69"/>
              <w:rPr>
                <w:sz w:val="16"/>
              </w:rPr>
            </w:pPr>
            <w:r>
              <w:rPr>
                <w:sz w:val="16"/>
              </w:rPr>
              <w:t>Otras</w:t>
            </w:r>
          </w:p>
        </w:tc>
        <w:tc>
          <w:tcPr>
            <w:tcW w:w="993" w:type="dxa"/>
          </w:tcPr>
          <w:p>
            <w:pPr>
              <w:pStyle w:val="TableParagraph"/>
              <w:spacing w:before="0"/>
              <w:rPr>
                <w:rFonts w:ascii="Times New Roman"/>
                <w:sz w:val="14"/>
              </w:rPr>
            </w:pPr>
          </w:p>
        </w:tc>
        <w:tc>
          <w:tcPr>
            <w:tcW w:w="1132" w:type="dxa"/>
          </w:tcPr>
          <w:p>
            <w:pPr>
              <w:pStyle w:val="TableParagraph"/>
              <w:spacing w:before="0"/>
              <w:rPr>
                <w:rFonts w:ascii="Times New Roman"/>
                <w:sz w:val="14"/>
              </w:rPr>
            </w:pPr>
          </w:p>
        </w:tc>
        <w:tc>
          <w:tcPr>
            <w:tcW w:w="993" w:type="dxa"/>
          </w:tcPr>
          <w:p>
            <w:pPr>
              <w:pStyle w:val="TableParagraph"/>
              <w:spacing w:before="0"/>
              <w:rPr>
                <w:rFonts w:ascii="Times New Roman"/>
                <w:sz w:val="14"/>
              </w:rPr>
            </w:pPr>
          </w:p>
        </w:tc>
        <w:tc>
          <w:tcPr>
            <w:tcW w:w="1274" w:type="dxa"/>
          </w:tcPr>
          <w:p>
            <w:pPr>
              <w:pStyle w:val="TableParagraph"/>
              <w:spacing w:before="0"/>
              <w:rPr>
                <w:rFonts w:ascii="Times New Roman"/>
                <w:sz w:val="14"/>
              </w:rPr>
            </w:pPr>
          </w:p>
        </w:tc>
        <w:tc>
          <w:tcPr>
            <w:tcW w:w="1135" w:type="dxa"/>
          </w:tcPr>
          <w:p>
            <w:pPr>
              <w:pStyle w:val="TableParagraph"/>
              <w:spacing w:before="0"/>
              <w:rPr>
                <w:rFonts w:ascii="Times New Roman"/>
                <w:sz w:val="14"/>
              </w:rPr>
            </w:pPr>
          </w:p>
        </w:tc>
      </w:tr>
      <w:tr>
        <w:trPr>
          <w:trHeight w:val="225" w:hRule="atLeast"/>
        </w:trPr>
        <w:tc>
          <w:tcPr>
            <w:tcW w:w="2990" w:type="dxa"/>
            <w:vMerge/>
            <w:tcBorders>
              <w:top w:val="nil"/>
            </w:tcBorders>
          </w:tcPr>
          <w:p>
            <w:pPr>
              <w:rPr>
                <w:sz w:val="2"/>
                <w:szCs w:val="2"/>
              </w:rPr>
            </w:pPr>
          </w:p>
        </w:tc>
        <w:tc>
          <w:tcPr>
            <w:tcW w:w="993" w:type="dxa"/>
          </w:tcPr>
          <w:p>
            <w:pPr>
              <w:pStyle w:val="TableParagraph"/>
              <w:spacing w:before="0"/>
              <w:rPr>
                <w:rFonts w:ascii="Times New Roman"/>
                <w:sz w:val="14"/>
              </w:rPr>
            </w:pPr>
          </w:p>
        </w:tc>
        <w:tc>
          <w:tcPr>
            <w:tcW w:w="1132" w:type="dxa"/>
          </w:tcPr>
          <w:p>
            <w:pPr>
              <w:pStyle w:val="TableParagraph"/>
              <w:spacing w:before="0"/>
              <w:rPr>
                <w:rFonts w:ascii="Times New Roman"/>
                <w:sz w:val="14"/>
              </w:rPr>
            </w:pPr>
          </w:p>
        </w:tc>
        <w:tc>
          <w:tcPr>
            <w:tcW w:w="993" w:type="dxa"/>
          </w:tcPr>
          <w:p>
            <w:pPr>
              <w:pStyle w:val="TableParagraph"/>
              <w:spacing w:before="0"/>
              <w:rPr>
                <w:rFonts w:ascii="Times New Roman"/>
                <w:sz w:val="14"/>
              </w:rPr>
            </w:pPr>
          </w:p>
        </w:tc>
        <w:tc>
          <w:tcPr>
            <w:tcW w:w="1274" w:type="dxa"/>
          </w:tcPr>
          <w:p>
            <w:pPr>
              <w:pStyle w:val="TableParagraph"/>
              <w:spacing w:before="0"/>
              <w:rPr>
                <w:rFonts w:ascii="Times New Roman"/>
                <w:sz w:val="14"/>
              </w:rPr>
            </w:pPr>
          </w:p>
        </w:tc>
        <w:tc>
          <w:tcPr>
            <w:tcW w:w="1135" w:type="dxa"/>
          </w:tcPr>
          <w:p>
            <w:pPr>
              <w:pStyle w:val="TableParagraph"/>
              <w:spacing w:before="0"/>
              <w:rPr>
                <w:rFonts w:ascii="Times New Roman"/>
                <w:sz w:val="14"/>
              </w:rPr>
            </w:pPr>
          </w:p>
        </w:tc>
      </w:tr>
      <w:tr>
        <w:trPr>
          <w:trHeight w:val="225" w:hRule="atLeast"/>
        </w:trPr>
        <w:tc>
          <w:tcPr>
            <w:tcW w:w="2990" w:type="dxa"/>
            <w:vMerge/>
            <w:tcBorders>
              <w:top w:val="nil"/>
            </w:tcBorders>
          </w:tcPr>
          <w:p>
            <w:pPr>
              <w:rPr>
                <w:sz w:val="2"/>
                <w:szCs w:val="2"/>
              </w:rPr>
            </w:pPr>
          </w:p>
        </w:tc>
        <w:tc>
          <w:tcPr>
            <w:tcW w:w="993" w:type="dxa"/>
          </w:tcPr>
          <w:p>
            <w:pPr>
              <w:pStyle w:val="TableParagraph"/>
              <w:spacing w:before="0"/>
              <w:rPr>
                <w:rFonts w:ascii="Times New Roman"/>
                <w:sz w:val="14"/>
              </w:rPr>
            </w:pPr>
          </w:p>
        </w:tc>
        <w:tc>
          <w:tcPr>
            <w:tcW w:w="1132" w:type="dxa"/>
          </w:tcPr>
          <w:p>
            <w:pPr>
              <w:pStyle w:val="TableParagraph"/>
              <w:spacing w:before="0"/>
              <w:rPr>
                <w:rFonts w:ascii="Times New Roman"/>
                <w:sz w:val="14"/>
              </w:rPr>
            </w:pPr>
          </w:p>
        </w:tc>
        <w:tc>
          <w:tcPr>
            <w:tcW w:w="993" w:type="dxa"/>
          </w:tcPr>
          <w:p>
            <w:pPr>
              <w:pStyle w:val="TableParagraph"/>
              <w:spacing w:before="0"/>
              <w:rPr>
                <w:rFonts w:ascii="Times New Roman"/>
                <w:sz w:val="14"/>
              </w:rPr>
            </w:pPr>
          </w:p>
        </w:tc>
        <w:tc>
          <w:tcPr>
            <w:tcW w:w="1274" w:type="dxa"/>
          </w:tcPr>
          <w:p>
            <w:pPr>
              <w:pStyle w:val="TableParagraph"/>
              <w:spacing w:before="0"/>
              <w:rPr>
                <w:rFonts w:ascii="Times New Roman"/>
                <w:sz w:val="14"/>
              </w:rPr>
            </w:pPr>
          </w:p>
        </w:tc>
        <w:tc>
          <w:tcPr>
            <w:tcW w:w="1135" w:type="dxa"/>
          </w:tcPr>
          <w:p>
            <w:pPr>
              <w:pStyle w:val="TableParagraph"/>
              <w:spacing w:before="0"/>
              <w:rPr>
                <w:rFonts w:ascii="Times New Roman"/>
                <w:sz w:val="14"/>
              </w:rPr>
            </w:pPr>
          </w:p>
        </w:tc>
      </w:tr>
      <w:tr>
        <w:trPr>
          <w:trHeight w:val="225" w:hRule="atLeast"/>
        </w:trPr>
        <w:tc>
          <w:tcPr>
            <w:tcW w:w="2990" w:type="dxa"/>
          </w:tcPr>
          <w:p>
            <w:pPr>
              <w:pStyle w:val="TableParagraph"/>
              <w:spacing w:line="175" w:lineRule="exact" w:before="30"/>
              <w:ind w:left="69"/>
              <w:rPr>
                <w:sz w:val="16"/>
              </w:rPr>
            </w:pPr>
            <w:r>
              <w:rPr>
                <w:sz w:val="16"/>
              </w:rPr>
              <w:t>TOTAL PERIODIFICABLES</w:t>
            </w:r>
          </w:p>
        </w:tc>
        <w:tc>
          <w:tcPr>
            <w:tcW w:w="993" w:type="dxa"/>
          </w:tcPr>
          <w:p>
            <w:pPr>
              <w:pStyle w:val="TableParagraph"/>
              <w:spacing w:before="0"/>
              <w:rPr>
                <w:rFonts w:ascii="Times New Roman"/>
                <w:sz w:val="14"/>
              </w:rPr>
            </w:pPr>
          </w:p>
        </w:tc>
        <w:tc>
          <w:tcPr>
            <w:tcW w:w="1132" w:type="dxa"/>
          </w:tcPr>
          <w:p>
            <w:pPr>
              <w:pStyle w:val="TableParagraph"/>
              <w:spacing w:before="0"/>
              <w:rPr>
                <w:rFonts w:ascii="Times New Roman"/>
                <w:sz w:val="14"/>
              </w:rPr>
            </w:pPr>
          </w:p>
        </w:tc>
        <w:tc>
          <w:tcPr>
            <w:tcW w:w="993" w:type="dxa"/>
          </w:tcPr>
          <w:p>
            <w:pPr>
              <w:pStyle w:val="TableParagraph"/>
              <w:spacing w:before="0"/>
              <w:rPr>
                <w:rFonts w:ascii="Times New Roman"/>
                <w:sz w:val="14"/>
              </w:rPr>
            </w:pPr>
          </w:p>
        </w:tc>
        <w:tc>
          <w:tcPr>
            <w:tcW w:w="1274" w:type="dxa"/>
          </w:tcPr>
          <w:p>
            <w:pPr>
              <w:pStyle w:val="TableParagraph"/>
              <w:spacing w:before="0"/>
              <w:rPr>
                <w:rFonts w:ascii="Times New Roman"/>
                <w:sz w:val="14"/>
              </w:rPr>
            </w:pPr>
          </w:p>
        </w:tc>
        <w:tc>
          <w:tcPr>
            <w:tcW w:w="1135" w:type="dxa"/>
          </w:tcPr>
          <w:p>
            <w:pPr>
              <w:pStyle w:val="TableParagraph"/>
              <w:spacing w:before="0"/>
              <w:rPr>
                <w:rFonts w:ascii="Times New Roman"/>
                <w:sz w:val="14"/>
              </w:rPr>
            </w:pPr>
          </w:p>
        </w:tc>
      </w:tr>
    </w:tbl>
    <w:p>
      <w:pPr>
        <w:pStyle w:val="BodyText"/>
        <w:spacing w:before="5" w:after="1"/>
        <w:rPr>
          <w:sz w:val="18"/>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90"/>
        <w:gridCol w:w="993"/>
        <w:gridCol w:w="1132"/>
        <w:gridCol w:w="993"/>
        <w:gridCol w:w="1274"/>
        <w:gridCol w:w="1135"/>
      </w:tblGrid>
      <w:tr>
        <w:trPr>
          <w:trHeight w:val="225" w:hRule="atLeast"/>
        </w:trPr>
        <w:tc>
          <w:tcPr>
            <w:tcW w:w="2990" w:type="dxa"/>
            <w:vMerge w:val="restart"/>
          </w:tcPr>
          <w:p>
            <w:pPr>
              <w:pStyle w:val="TableParagraph"/>
              <w:spacing w:before="30"/>
              <w:ind w:left="69"/>
              <w:rPr>
                <w:sz w:val="16"/>
              </w:rPr>
            </w:pPr>
            <w:r>
              <w:rPr>
                <w:sz w:val="16"/>
              </w:rPr>
              <w:t>Subvenciones oficiales a la explotación</w:t>
            </w:r>
          </w:p>
          <w:p>
            <w:pPr>
              <w:pStyle w:val="TableParagraph"/>
              <w:spacing w:line="175" w:lineRule="exact" w:before="39"/>
              <w:ind w:left="69"/>
              <w:rPr>
                <w:sz w:val="16"/>
              </w:rPr>
            </w:pPr>
            <w:r>
              <w:rPr>
                <w:sz w:val="16"/>
              </w:rPr>
              <w:t>Otras subvenciones a la explotación</w:t>
            </w:r>
          </w:p>
        </w:tc>
        <w:tc>
          <w:tcPr>
            <w:tcW w:w="993" w:type="dxa"/>
          </w:tcPr>
          <w:p>
            <w:pPr>
              <w:pStyle w:val="TableParagraph"/>
              <w:spacing w:line="175" w:lineRule="exact" w:before="30"/>
              <w:ind w:right="56"/>
              <w:jc w:val="right"/>
              <w:rPr>
                <w:sz w:val="16"/>
              </w:rPr>
            </w:pPr>
            <w:r>
              <w:rPr>
                <w:sz w:val="16"/>
              </w:rPr>
              <w:t>267.007,84</w:t>
            </w:r>
          </w:p>
        </w:tc>
        <w:tc>
          <w:tcPr>
            <w:tcW w:w="1132" w:type="dxa"/>
          </w:tcPr>
          <w:p>
            <w:pPr>
              <w:pStyle w:val="TableParagraph"/>
              <w:spacing w:before="0"/>
              <w:rPr>
                <w:rFonts w:ascii="Times New Roman"/>
                <w:sz w:val="14"/>
              </w:rPr>
            </w:pPr>
          </w:p>
        </w:tc>
        <w:tc>
          <w:tcPr>
            <w:tcW w:w="993" w:type="dxa"/>
          </w:tcPr>
          <w:p>
            <w:pPr>
              <w:pStyle w:val="TableParagraph"/>
              <w:spacing w:before="0"/>
              <w:rPr>
                <w:rFonts w:ascii="Times New Roman"/>
                <w:sz w:val="14"/>
              </w:rPr>
            </w:pPr>
          </w:p>
        </w:tc>
        <w:tc>
          <w:tcPr>
            <w:tcW w:w="1274" w:type="dxa"/>
          </w:tcPr>
          <w:p>
            <w:pPr>
              <w:pStyle w:val="TableParagraph"/>
              <w:spacing w:before="0"/>
              <w:rPr>
                <w:rFonts w:ascii="Times New Roman"/>
                <w:sz w:val="14"/>
              </w:rPr>
            </w:pPr>
          </w:p>
        </w:tc>
        <w:tc>
          <w:tcPr>
            <w:tcW w:w="1135" w:type="dxa"/>
          </w:tcPr>
          <w:p>
            <w:pPr>
              <w:pStyle w:val="TableParagraph"/>
              <w:spacing w:line="175" w:lineRule="exact" w:before="30"/>
              <w:ind w:right="55"/>
              <w:jc w:val="right"/>
              <w:rPr>
                <w:sz w:val="16"/>
              </w:rPr>
            </w:pPr>
            <w:r>
              <w:rPr>
                <w:sz w:val="16"/>
              </w:rPr>
              <w:t>267.007,84</w:t>
            </w:r>
          </w:p>
        </w:tc>
      </w:tr>
      <w:tr>
        <w:trPr>
          <w:trHeight w:val="225" w:hRule="atLeast"/>
        </w:trPr>
        <w:tc>
          <w:tcPr>
            <w:tcW w:w="2990" w:type="dxa"/>
            <w:vMerge/>
            <w:tcBorders>
              <w:top w:val="nil"/>
            </w:tcBorders>
          </w:tcPr>
          <w:p>
            <w:pPr>
              <w:rPr>
                <w:sz w:val="2"/>
                <w:szCs w:val="2"/>
              </w:rPr>
            </w:pPr>
          </w:p>
        </w:tc>
        <w:tc>
          <w:tcPr>
            <w:tcW w:w="993" w:type="dxa"/>
          </w:tcPr>
          <w:p>
            <w:pPr>
              <w:pStyle w:val="TableParagraph"/>
              <w:spacing w:before="0"/>
              <w:rPr>
                <w:rFonts w:ascii="Times New Roman"/>
                <w:sz w:val="14"/>
              </w:rPr>
            </w:pPr>
          </w:p>
        </w:tc>
        <w:tc>
          <w:tcPr>
            <w:tcW w:w="1132" w:type="dxa"/>
          </w:tcPr>
          <w:p>
            <w:pPr>
              <w:pStyle w:val="TableParagraph"/>
              <w:spacing w:before="0"/>
              <w:rPr>
                <w:rFonts w:ascii="Times New Roman"/>
                <w:sz w:val="14"/>
              </w:rPr>
            </w:pPr>
          </w:p>
        </w:tc>
        <w:tc>
          <w:tcPr>
            <w:tcW w:w="993" w:type="dxa"/>
          </w:tcPr>
          <w:p>
            <w:pPr>
              <w:pStyle w:val="TableParagraph"/>
              <w:spacing w:before="0"/>
              <w:rPr>
                <w:rFonts w:ascii="Times New Roman"/>
                <w:sz w:val="14"/>
              </w:rPr>
            </w:pPr>
          </w:p>
        </w:tc>
        <w:tc>
          <w:tcPr>
            <w:tcW w:w="1274" w:type="dxa"/>
          </w:tcPr>
          <w:p>
            <w:pPr>
              <w:pStyle w:val="TableParagraph"/>
              <w:spacing w:before="0"/>
              <w:rPr>
                <w:rFonts w:ascii="Times New Roman"/>
                <w:sz w:val="14"/>
              </w:rPr>
            </w:pPr>
          </w:p>
        </w:tc>
        <w:tc>
          <w:tcPr>
            <w:tcW w:w="1135" w:type="dxa"/>
          </w:tcPr>
          <w:p>
            <w:pPr>
              <w:pStyle w:val="TableParagraph"/>
              <w:spacing w:before="0"/>
              <w:rPr>
                <w:rFonts w:ascii="Times New Roman"/>
                <w:sz w:val="14"/>
              </w:rPr>
            </w:pPr>
          </w:p>
        </w:tc>
      </w:tr>
      <w:tr>
        <w:trPr>
          <w:trHeight w:val="225" w:hRule="atLeast"/>
        </w:trPr>
        <w:tc>
          <w:tcPr>
            <w:tcW w:w="2990" w:type="dxa"/>
          </w:tcPr>
          <w:p>
            <w:pPr>
              <w:pStyle w:val="TableParagraph"/>
              <w:spacing w:line="175" w:lineRule="exact" w:before="30"/>
              <w:ind w:left="69"/>
              <w:rPr>
                <w:sz w:val="16"/>
              </w:rPr>
            </w:pPr>
            <w:r>
              <w:rPr>
                <w:sz w:val="16"/>
              </w:rPr>
              <w:t>TOTAL NO PERIODIFICABLES</w:t>
            </w:r>
          </w:p>
        </w:tc>
        <w:tc>
          <w:tcPr>
            <w:tcW w:w="993" w:type="dxa"/>
          </w:tcPr>
          <w:p>
            <w:pPr>
              <w:pStyle w:val="TableParagraph"/>
              <w:spacing w:line="175" w:lineRule="exact" w:before="30"/>
              <w:ind w:right="56"/>
              <w:jc w:val="right"/>
              <w:rPr>
                <w:sz w:val="16"/>
              </w:rPr>
            </w:pPr>
            <w:r>
              <w:rPr>
                <w:sz w:val="16"/>
              </w:rPr>
              <w:t>267.007,84</w:t>
            </w:r>
          </w:p>
        </w:tc>
        <w:tc>
          <w:tcPr>
            <w:tcW w:w="1132" w:type="dxa"/>
          </w:tcPr>
          <w:p>
            <w:pPr>
              <w:pStyle w:val="TableParagraph"/>
              <w:spacing w:before="0"/>
              <w:rPr>
                <w:rFonts w:ascii="Times New Roman"/>
                <w:sz w:val="14"/>
              </w:rPr>
            </w:pPr>
          </w:p>
        </w:tc>
        <w:tc>
          <w:tcPr>
            <w:tcW w:w="993" w:type="dxa"/>
          </w:tcPr>
          <w:p>
            <w:pPr>
              <w:pStyle w:val="TableParagraph"/>
              <w:spacing w:before="0"/>
              <w:rPr>
                <w:rFonts w:ascii="Times New Roman"/>
                <w:sz w:val="14"/>
              </w:rPr>
            </w:pPr>
          </w:p>
        </w:tc>
        <w:tc>
          <w:tcPr>
            <w:tcW w:w="1274" w:type="dxa"/>
          </w:tcPr>
          <w:p>
            <w:pPr>
              <w:pStyle w:val="TableParagraph"/>
              <w:spacing w:before="0"/>
              <w:rPr>
                <w:rFonts w:ascii="Times New Roman"/>
                <w:sz w:val="14"/>
              </w:rPr>
            </w:pPr>
          </w:p>
        </w:tc>
        <w:tc>
          <w:tcPr>
            <w:tcW w:w="1135" w:type="dxa"/>
          </w:tcPr>
          <w:p>
            <w:pPr>
              <w:pStyle w:val="TableParagraph"/>
              <w:spacing w:line="175" w:lineRule="exact" w:before="30"/>
              <w:ind w:right="55"/>
              <w:jc w:val="right"/>
              <w:rPr>
                <w:sz w:val="16"/>
              </w:rPr>
            </w:pPr>
            <w:r>
              <w:rPr>
                <w:sz w:val="16"/>
              </w:rPr>
              <w:t>267.007,84</w:t>
            </w:r>
          </w:p>
        </w:tc>
      </w:tr>
    </w:tbl>
    <w:p>
      <w:pPr>
        <w:pStyle w:val="BodyText"/>
        <w:spacing w:before="5" w:after="1"/>
        <w:rPr>
          <w:sz w:val="18"/>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90"/>
        <w:gridCol w:w="993"/>
        <w:gridCol w:w="1132"/>
        <w:gridCol w:w="993"/>
        <w:gridCol w:w="1274"/>
        <w:gridCol w:w="1135"/>
      </w:tblGrid>
      <w:tr>
        <w:trPr>
          <w:trHeight w:val="225" w:hRule="atLeast"/>
        </w:trPr>
        <w:tc>
          <w:tcPr>
            <w:tcW w:w="2990" w:type="dxa"/>
          </w:tcPr>
          <w:p>
            <w:pPr>
              <w:pStyle w:val="TableParagraph"/>
              <w:spacing w:line="178" w:lineRule="exact" w:before="27"/>
              <w:ind w:left="69"/>
              <w:rPr>
                <w:sz w:val="16"/>
              </w:rPr>
            </w:pPr>
            <w:r>
              <w:rPr>
                <w:sz w:val="16"/>
              </w:rPr>
              <w:t>TOTAL</w:t>
            </w:r>
          </w:p>
        </w:tc>
        <w:tc>
          <w:tcPr>
            <w:tcW w:w="993" w:type="dxa"/>
          </w:tcPr>
          <w:p>
            <w:pPr>
              <w:pStyle w:val="TableParagraph"/>
              <w:spacing w:line="178" w:lineRule="exact" w:before="27"/>
              <w:ind w:left="192"/>
              <w:rPr>
                <w:sz w:val="16"/>
              </w:rPr>
            </w:pPr>
            <w:r>
              <w:rPr>
                <w:sz w:val="16"/>
              </w:rPr>
              <w:t>267.007,84</w:t>
            </w:r>
          </w:p>
        </w:tc>
        <w:tc>
          <w:tcPr>
            <w:tcW w:w="1132" w:type="dxa"/>
          </w:tcPr>
          <w:p>
            <w:pPr>
              <w:pStyle w:val="TableParagraph"/>
              <w:spacing w:before="0"/>
              <w:rPr>
                <w:rFonts w:ascii="Times New Roman"/>
                <w:sz w:val="14"/>
              </w:rPr>
            </w:pPr>
          </w:p>
        </w:tc>
        <w:tc>
          <w:tcPr>
            <w:tcW w:w="993" w:type="dxa"/>
          </w:tcPr>
          <w:p>
            <w:pPr>
              <w:pStyle w:val="TableParagraph"/>
              <w:spacing w:before="0"/>
              <w:rPr>
                <w:rFonts w:ascii="Times New Roman"/>
                <w:sz w:val="14"/>
              </w:rPr>
            </w:pPr>
          </w:p>
        </w:tc>
        <w:tc>
          <w:tcPr>
            <w:tcW w:w="1274" w:type="dxa"/>
          </w:tcPr>
          <w:p>
            <w:pPr>
              <w:pStyle w:val="TableParagraph"/>
              <w:spacing w:before="0"/>
              <w:rPr>
                <w:rFonts w:ascii="Times New Roman"/>
                <w:sz w:val="14"/>
              </w:rPr>
            </w:pPr>
          </w:p>
        </w:tc>
        <w:tc>
          <w:tcPr>
            <w:tcW w:w="1135" w:type="dxa"/>
          </w:tcPr>
          <w:p>
            <w:pPr>
              <w:pStyle w:val="TableParagraph"/>
              <w:spacing w:line="178" w:lineRule="exact" w:before="27"/>
              <w:ind w:left="336"/>
              <w:rPr>
                <w:sz w:val="16"/>
              </w:rPr>
            </w:pPr>
            <w:r>
              <w:rPr>
                <w:sz w:val="16"/>
              </w:rPr>
              <w:t>267.007,84</w:t>
            </w:r>
          </w:p>
        </w:tc>
      </w:tr>
    </w:tbl>
    <w:p>
      <w:pPr>
        <w:pStyle w:val="BodyText"/>
        <w:rPr>
          <w:sz w:val="18"/>
        </w:rPr>
      </w:pPr>
    </w:p>
    <w:p>
      <w:pPr>
        <w:pStyle w:val="BodyText"/>
        <w:spacing w:before="3"/>
        <w:rPr>
          <w:sz w:val="20"/>
        </w:rPr>
      </w:pPr>
    </w:p>
    <w:p>
      <w:pPr>
        <w:pStyle w:val="BodyText"/>
        <w:spacing w:line="276" w:lineRule="auto"/>
        <w:ind w:left="121" w:right="552"/>
      </w:pPr>
      <w:r>
        <w:rPr/>
        <w:t>La Fundación tiene importes de subvenciones pendientes de recibir al cierre del ejercicio 2024 por importe de 888,00 euros, del Ayuntamiento de Los Realejos, y 89.109,21 euros, del Cabildo Insular de Tenerife.</w:t>
      </w:r>
    </w:p>
    <w:p>
      <w:pPr>
        <w:pStyle w:val="BodyText"/>
        <w:rPr>
          <w:sz w:val="18"/>
        </w:rPr>
      </w:pPr>
    </w:p>
    <w:p>
      <w:pPr>
        <w:pStyle w:val="BodyText"/>
        <w:rPr>
          <w:sz w:val="18"/>
        </w:rPr>
      </w:pPr>
    </w:p>
    <w:p>
      <w:pPr>
        <w:pStyle w:val="Heading1"/>
        <w:numPr>
          <w:ilvl w:val="0"/>
          <w:numId w:val="20"/>
        </w:numPr>
        <w:tabs>
          <w:tab w:pos="542" w:val="left" w:leader="none"/>
        </w:tabs>
        <w:spacing w:line="240" w:lineRule="auto" w:before="0" w:after="0"/>
        <w:ind w:left="541" w:right="0" w:hanging="421"/>
        <w:jc w:val="left"/>
      </w:pPr>
      <w:r>
        <w:rPr/>
        <w:t>INVENTARIO.</w:t>
      </w:r>
    </w:p>
    <w:p>
      <w:pPr>
        <w:pStyle w:val="BodyText"/>
        <w:spacing w:before="7"/>
        <w:rPr>
          <w:b/>
          <w:sz w:val="20"/>
        </w:rPr>
      </w:pPr>
    </w:p>
    <w:tbl>
      <w:tblPr>
        <w:tblW w:w="0" w:type="auto"/>
        <w:jc w:val="left"/>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2861"/>
        <w:gridCol w:w="1001"/>
        <w:gridCol w:w="579"/>
        <w:gridCol w:w="862"/>
        <w:gridCol w:w="1006"/>
        <w:gridCol w:w="939"/>
        <w:gridCol w:w="881"/>
      </w:tblGrid>
      <w:tr>
        <w:trPr>
          <w:trHeight w:val="342" w:hRule="atLeast"/>
        </w:trPr>
        <w:tc>
          <w:tcPr>
            <w:tcW w:w="919" w:type="dxa"/>
          </w:tcPr>
          <w:p>
            <w:pPr>
              <w:pStyle w:val="TableParagraph"/>
              <w:spacing w:before="10"/>
              <w:rPr>
                <w:b/>
                <w:sz w:val="13"/>
              </w:rPr>
            </w:pPr>
          </w:p>
          <w:p>
            <w:pPr>
              <w:pStyle w:val="TableParagraph"/>
              <w:spacing w:line="154" w:lineRule="exact" w:before="0"/>
              <w:ind w:left="69"/>
              <w:rPr>
                <w:b/>
                <w:sz w:val="14"/>
              </w:rPr>
            </w:pPr>
            <w:r>
              <w:rPr>
                <w:b/>
                <w:sz w:val="14"/>
                <w:u w:val="single"/>
              </w:rPr>
              <w:t>Código Cta.</w:t>
            </w:r>
          </w:p>
        </w:tc>
        <w:tc>
          <w:tcPr>
            <w:tcW w:w="2861" w:type="dxa"/>
          </w:tcPr>
          <w:p>
            <w:pPr>
              <w:pStyle w:val="TableParagraph"/>
              <w:spacing w:before="10"/>
              <w:rPr>
                <w:b/>
                <w:sz w:val="13"/>
              </w:rPr>
            </w:pPr>
          </w:p>
          <w:p>
            <w:pPr>
              <w:pStyle w:val="TableParagraph"/>
              <w:spacing w:line="154" w:lineRule="exact" w:before="0"/>
              <w:ind w:left="69"/>
              <w:rPr>
                <w:b/>
                <w:sz w:val="14"/>
              </w:rPr>
            </w:pPr>
            <w:r>
              <w:rPr>
                <w:b/>
                <w:sz w:val="14"/>
                <w:u w:val="single"/>
              </w:rPr>
              <w:t>Descripción</w:t>
            </w:r>
          </w:p>
        </w:tc>
        <w:tc>
          <w:tcPr>
            <w:tcW w:w="1001" w:type="dxa"/>
          </w:tcPr>
          <w:p>
            <w:pPr>
              <w:pStyle w:val="TableParagraph"/>
              <w:spacing w:before="10"/>
              <w:rPr>
                <w:b/>
                <w:sz w:val="13"/>
              </w:rPr>
            </w:pPr>
          </w:p>
          <w:p>
            <w:pPr>
              <w:pStyle w:val="TableParagraph"/>
              <w:spacing w:line="154" w:lineRule="exact" w:before="0"/>
              <w:ind w:right="63"/>
              <w:jc w:val="right"/>
              <w:rPr>
                <w:b/>
                <w:sz w:val="14"/>
              </w:rPr>
            </w:pPr>
            <w:r>
              <w:rPr>
                <w:b/>
                <w:sz w:val="14"/>
                <w:u w:val="single"/>
              </w:rPr>
              <w:t>Fec.Compra</w:t>
            </w:r>
          </w:p>
        </w:tc>
        <w:tc>
          <w:tcPr>
            <w:tcW w:w="579" w:type="dxa"/>
          </w:tcPr>
          <w:p>
            <w:pPr>
              <w:pStyle w:val="TableParagraph"/>
              <w:spacing w:before="10"/>
              <w:rPr>
                <w:b/>
                <w:sz w:val="13"/>
              </w:rPr>
            </w:pPr>
          </w:p>
          <w:p>
            <w:pPr>
              <w:pStyle w:val="TableParagraph"/>
              <w:spacing w:line="154" w:lineRule="exact" w:before="0"/>
              <w:ind w:right="59"/>
              <w:jc w:val="right"/>
              <w:rPr>
                <w:b/>
                <w:sz w:val="14"/>
              </w:rPr>
            </w:pPr>
            <w:r>
              <w:rPr>
                <w:b/>
                <w:sz w:val="14"/>
                <w:u w:val="single"/>
              </w:rPr>
              <w:t>Porc</w:t>
            </w:r>
            <w:r>
              <w:rPr>
                <w:b/>
                <w:sz w:val="14"/>
              </w:rPr>
              <w:t>.</w:t>
            </w:r>
          </w:p>
        </w:tc>
        <w:tc>
          <w:tcPr>
            <w:tcW w:w="862" w:type="dxa"/>
          </w:tcPr>
          <w:p>
            <w:pPr>
              <w:pStyle w:val="TableParagraph"/>
              <w:spacing w:line="169" w:lineRule="exact" w:before="0"/>
              <w:ind w:right="62"/>
              <w:jc w:val="right"/>
              <w:rPr>
                <w:b/>
                <w:sz w:val="14"/>
              </w:rPr>
            </w:pPr>
            <w:r>
              <w:rPr>
                <w:b/>
                <w:spacing w:val="-1"/>
                <w:sz w:val="14"/>
                <w:u w:val="single"/>
              </w:rPr>
              <w:t>Valor</w:t>
            </w:r>
          </w:p>
          <w:p>
            <w:pPr>
              <w:pStyle w:val="TableParagraph"/>
              <w:spacing w:line="154" w:lineRule="exact" w:before="0"/>
              <w:ind w:right="62"/>
              <w:jc w:val="right"/>
              <w:rPr>
                <w:b/>
                <w:sz w:val="14"/>
              </w:rPr>
            </w:pPr>
            <w:r>
              <w:rPr>
                <w:b/>
                <w:spacing w:val="-1"/>
                <w:sz w:val="14"/>
                <w:u w:val="single"/>
              </w:rPr>
              <w:t>Adquis</w:t>
            </w:r>
            <w:r>
              <w:rPr>
                <w:b/>
                <w:spacing w:val="-1"/>
                <w:sz w:val="14"/>
              </w:rPr>
              <w:t>.</w:t>
            </w:r>
          </w:p>
        </w:tc>
        <w:tc>
          <w:tcPr>
            <w:tcW w:w="1006" w:type="dxa"/>
          </w:tcPr>
          <w:p>
            <w:pPr>
              <w:pStyle w:val="TableParagraph"/>
              <w:spacing w:before="10"/>
              <w:rPr>
                <w:b/>
                <w:sz w:val="13"/>
              </w:rPr>
            </w:pPr>
          </w:p>
          <w:p>
            <w:pPr>
              <w:pStyle w:val="TableParagraph"/>
              <w:spacing w:line="154" w:lineRule="exact" w:before="0"/>
              <w:ind w:right="63"/>
              <w:jc w:val="right"/>
              <w:rPr>
                <w:b/>
                <w:sz w:val="14"/>
              </w:rPr>
            </w:pPr>
            <w:r>
              <w:rPr>
                <w:b/>
                <w:sz w:val="14"/>
                <w:u w:val="single"/>
              </w:rPr>
              <w:t>Amort.Periodo</w:t>
            </w:r>
          </w:p>
        </w:tc>
        <w:tc>
          <w:tcPr>
            <w:tcW w:w="939" w:type="dxa"/>
          </w:tcPr>
          <w:p>
            <w:pPr>
              <w:pStyle w:val="TableParagraph"/>
              <w:spacing w:before="10"/>
              <w:rPr>
                <w:b/>
                <w:sz w:val="13"/>
              </w:rPr>
            </w:pPr>
          </w:p>
          <w:p>
            <w:pPr>
              <w:pStyle w:val="TableParagraph"/>
              <w:spacing w:line="154" w:lineRule="exact" w:before="0"/>
              <w:ind w:right="63"/>
              <w:jc w:val="right"/>
              <w:rPr>
                <w:b/>
                <w:sz w:val="14"/>
              </w:rPr>
            </w:pPr>
            <w:r>
              <w:rPr>
                <w:b/>
                <w:sz w:val="14"/>
                <w:u w:val="single"/>
              </w:rPr>
              <w:t>Total Amort</w:t>
            </w:r>
            <w:r>
              <w:rPr>
                <w:b/>
                <w:sz w:val="14"/>
              </w:rPr>
              <w:t>.</w:t>
            </w:r>
          </w:p>
        </w:tc>
        <w:tc>
          <w:tcPr>
            <w:tcW w:w="881" w:type="dxa"/>
          </w:tcPr>
          <w:p>
            <w:pPr>
              <w:pStyle w:val="TableParagraph"/>
              <w:spacing w:before="10"/>
              <w:rPr>
                <w:b/>
                <w:sz w:val="13"/>
              </w:rPr>
            </w:pPr>
          </w:p>
          <w:p>
            <w:pPr>
              <w:pStyle w:val="TableParagraph"/>
              <w:spacing w:line="154" w:lineRule="exact" w:before="0"/>
              <w:ind w:right="63"/>
              <w:jc w:val="right"/>
              <w:rPr>
                <w:b/>
                <w:sz w:val="14"/>
              </w:rPr>
            </w:pPr>
            <w:r>
              <w:rPr>
                <w:b/>
                <w:sz w:val="14"/>
                <w:u w:val="single"/>
              </w:rPr>
              <w:t>Pdte.Amort</w:t>
            </w:r>
            <w:r>
              <w:rPr>
                <w:b/>
                <w:sz w:val="14"/>
              </w:rPr>
              <w:t>.</w:t>
            </w:r>
          </w:p>
        </w:tc>
      </w:tr>
      <w:tr>
        <w:trPr>
          <w:trHeight w:val="208" w:hRule="atLeast"/>
        </w:trPr>
        <w:tc>
          <w:tcPr>
            <w:tcW w:w="919" w:type="dxa"/>
          </w:tcPr>
          <w:p>
            <w:pPr>
              <w:pStyle w:val="TableParagraph"/>
              <w:spacing w:line="151" w:lineRule="exact" w:before="37"/>
              <w:ind w:right="59"/>
              <w:jc w:val="right"/>
              <w:rPr>
                <w:sz w:val="14"/>
              </w:rPr>
            </w:pPr>
            <w:r>
              <w:rPr>
                <w:w w:val="95"/>
                <w:sz w:val="14"/>
              </w:rPr>
              <w:t>20600001</w:t>
            </w:r>
          </w:p>
        </w:tc>
        <w:tc>
          <w:tcPr>
            <w:tcW w:w="2861" w:type="dxa"/>
          </w:tcPr>
          <w:p>
            <w:pPr>
              <w:pStyle w:val="TableParagraph"/>
              <w:spacing w:line="151" w:lineRule="exact" w:before="37"/>
              <w:ind w:left="69"/>
              <w:rPr>
                <w:sz w:val="14"/>
              </w:rPr>
            </w:pPr>
            <w:r>
              <w:rPr>
                <w:sz w:val="14"/>
              </w:rPr>
              <w:t>DOMINIO Y PROGRAMA PAGINA WEB</w:t>
            </w:r>
          </w:p>
        </w:tc>
        <w:tc>
          <w:tcPr>
            <w:tcW w:w="1001" w:type="dxa"/>
          </w:tcPr>
          <w:p>
            <w:pPr>
              <w:pStyle w:val="TableParagraph"/>
              <w:spacing w:line="151" w:lineRule="exact" w:before="37"/>
              <w:ind w:right="61"/>
              <w:jc w:val="right"/>
              <w:rPr>
                <w:sz w:val="14"/>
              </w:rPr>
            </w:pPr>
            <w:r>
              <w:rPr>
                <w:w w:val="95"/>
                <w:sz w:val="14"/>
              </w:rPr>
              <w:t>17/02/2012</w:t>
            </w:r>
          </w:p>
        </w:tc>
        <w:tc>
          <w:tcPr>
            <w:tcW w:w="579" w:type="dxa"/>
          </w:tcPr>
          <w:p>
            <w:pPr>
              <w:pStyle w:val="TableParagraph"/>
              <w:spacing w:line="151" w:lineRule="exact" w:before="37"/>
              <w:ind w:right="60"/>
              <w:jc w:val="right"/>
              <w:rPr>
                <w:sz w:val="14"/>
              </w:rPr>
            </w:pPr>
            <w:r>
              <w:rPr>
                <w:w w:val="95"/>
                <w:sz w:val="14"/>
              </w:rPr>
              <w:t>33,00</w:t>
            </w:r>
          </w:p>
        </w:tc>
        <w:tc>
          <w:tcPr>
            <w:tcW w:w="862" w:type="dxa"/>
          </w:tcPr>
          <w:p>
            <w:pPr>
              <w:pStyle w:val="TableParagraph"/>
              <w:spacing w:line="151" w:lineRule="exact" w:before="37"/>
              <w:ind w:right="62"/>
              <w:jc w:val="right"/>
              <w:rPr>
                <w:sz w:val="14"/>
              </w:rPr>
            </w:pPr>
            <w:r>
              <w:rPr>
                <w:sz w:val="14"/>
              </w:rPr>
              <w:t>395,00</w:t>
            </w:r>
          </w:p>
        </w:tc>
        <w:tc>
          <w:tcPr>
            <w:tcW w:w="1006" w:type="dxa"/>
          </w:tcPr>
          <w:p>
            <w:pPr>
              <w:pStyle w:val="TableParagraph"/>
              <w:spacing w:line="151" w:lineRule="exact" w:before="37"/>
              <w:ind w:right="63"/>
              <w:jc w:val="right"/>
              <w:rPr>
                <w:sz w:val="14"/>
              </w:rPr>
            </w:pPr>
            <w:r>
              <w:rPr>
                <w:sz w:val="14"/>
              </w:rPr>
              <w:t>0,00</w:t>
            </w:r>
          </w:p>
        </w:tc>
        <w:tc>
          <w:tcPr>
            <w:tcW w:w="939" w:type="dxa"/>
          </w:tcPr>
          <w:p>
            <w:pPr>
              <w:pStyle w:val="TableParagraph"/>
              <w:spacing w:line="151" w:lineRule="exact" w:before="37"/>
              <w:ind w:right="63"/>
              <w:jc w:val="right"/>
              <w:rPr>
                <w:sz w:val="14"/>
              </w:rPr>
            </w:pPr>
            <w:r>
              <w:rPr>
                <w:sz w:val="14"/>
              </w:rPr>
              <w:t>395,00</w:t>
            </w:r>
          </w:p>
        </w:tc>
        <w:tc>
          <w:tcPr>
            <w:tcW w:w="881" w:type="dxa"/>
          </w:tcPr>
          <w:p>
            <w:pPr>
              <w:pStyle w:val="TableParagraph"/>
              <w:spacing w:line="151" w:lineRule="exact" w:before="37"/>
              <w:ind w:right="64"/>
              <w:jc w:val="right"/>
              <w:rPr>
                <w:sz w:val="14"/>
              </w:rPr>
            </w:pPr>
            <w:r>
              <w:rPr>
                <w:sz w:val="14"/>
              </w:rPr>
              <w:t>0,00</w:t>
            </w:r>
          </w:p>
        </w:tc>
      </w:tr>
      <w:tr>
        <w:trPr>
          <w:trHeight w:val="179" w:hRule="atLeast"/>
        </w:trPr>
        <w:tc>
          <w:tcPr>
            <w:tcW w:w="919" w:type="dxa"/>
          </w:tcPr>
          <w:p>
            <w:pPr>
              <w:pStyle w:val="TableParagraph"/>
              <w:spacing w:line="152" w:lineRule="exact"/>
              <w:ind w:right="59"/>
              <w:jc w:val="right"/>
              <w:rPr>
                <w:sz w:val="14"/>
              </w:rPr>
            </w:pPr>
            <w:r>
              <w:rPr>
                <w:w w:val="95"/>
                <w:sz w:val="14"/>
              </w:rPr>
              <w:t>20600002</w:t>
            </w:r>
          </w:p>
        </w:tc>
        <w:tc>
          <w:tcPr>
            <w:tcW w:w="2861" w:type="dxa"/>
          </w:tcPr>
          <w:p>
            <w:pPr>
              <w:pStyle w:val="TableParagraph"/>
              <w:spacing w:line="152" w:lineRule="exact"/>
              <w:ind w:left="69"/>
              <w:rPr>
                <w:sz w:val="14"/>
              </w:rPr>
            </w:pPr>
            <w:r>
              <w:rPr>
                <w:sz w:val="14"/>
              </w:rPr>
              <w:t>MNPROGRAM SERVIDOR ADVANCE</w:t>
            </w:r>
          </w:p>
        </w:tc>
        <w:tc>
          <w:tcPr>
            <w:tcW w:w="1001" w:type="dxa"/>
          </w:tcPr>
          <w:p>
            <w:pPr>
              <w:pStyle w:val="TableParagraph"/>
              <w:spacing w:line="152" w:lineRule="exact"/>
              <w:ind w:right="61"/>
              <w:jc w:val="right"/>
              <w:rPr>
                <w:sz w:val="14"/>
              </w:rPr>
            </w:pPr>
            <w:r>
              <w:rPr>
                <w:w w:val="95"/>
                <w:sz w:val="14"/>
              </w:rPr>
              <w:t>11/12/2018</w:t>
            </w:r>
          </w:p>
        </w:tc>
        <w:tc>
          <w:tcPr>
            <w:tcW w:w="579" w:type="dxa"/>
          </w:tcPr>
          <w:p>
            <w:pPr>
              <w:pStyle w:val="TableParagraph"/>
              <w:spacing w:line="152" w:lineRule="exact"/>
              <w:ind w:right="60"/>
              <w:jc w:val="right"/>
              <w:rPr>
                <w:sz w:val="14"/>
              </w:rPr>
            </w:pPr>
            <w:r>
              <w:rPr>
                <w:w w:val="95"/>
                <w:sz w:val="14"/>
              </w:rPr>
              <w:t>33,00</w:t>
            </w:r>
          </w:p>
        </w:tc>
        <w:tc>
          <w:tcPr>
            <w:tcW w:w="862" w:type="dxa"/>
          </w:tcPr>
          <w:p>
            <w:pPr>
              <w:pStyle w:val="TableParagraph"/>
              <w:spacing w:line="152" w:lineRule="exact"/>
              <w:ind w:right="62"/>
              <w:jc w:val="right"/>
              <w:rPr>
                <w:sz w:val="14"/>
              </w:rPr>
            </w:pPr>
            <w:r>
              <w:rPr>
                <w:sz w:val="14"/>
              </w:rPr>
              <w:t>520,00</w:t>
            </w:r>
          </w:p>
        </w:tc>
        <w:tc>
          <w:tcPr>
            <w:tcW w:w="1006" w:type="dxa"/>
          </w:tcPr>
          <w:p>
            <w:pPr>
              <w:pStyle w:val="TableParagraph"/>
              <w:spacing w:line="152" w:lineRule="exact"/>
              <w:ind w:right="63"/>
              <w:jc w:val="right"/>
              <w:rPr>
                <w:sz w:val="14"/>
              </w:rPr>
            </w:pPr>
            <w:r>
              <w:rPr>
                <w:sz w:val="14"/>
              </w:rPr>
              <w:t>0,00</w:t>
            </w:r>
          </w:p>
        </w:tc>
        <w:tc>
          <w:tcPr>
            <w:tcW w:w="939" w:type="dxa"/>
          </w:tcPr>
          <w:p>
            <w:pPr>
              <w:pStyle w:val="TableParagraph"/>
              <w:spacing w:line="152" w:lineRule="exact"/>
              <w:ind w:right="63"/>
              <w:jc w:val="right"/>
              <w:rPr>
                <w:sz w:val="14"/>
              </w:rPr>
            </w:pPr>
            <w:r>
              <w:rPr>
                <w:sz w:val="14"/>
              </w:rPr>
              <w:t>520,00</w:t>
            </w:r>
          </w:p>
        </w:tc>
        <w:tc>
          <w:tcPr>
            <w:tcW w:w="881" w:type="dxa"/>
          </w:tcPr>
          <w:p>
            <w:pPr>
              <w:pStyle w:val="TableParagraph"/>
              <w:spacing w:line="152" w:lineRule="exact"/>
              <w:ind w:right="64"/>
              <w:jc w:val="right"/>
              <w:rPr>
                <w:sz w:val="14"/>
              </w:rPr>
            </w:pPr>
            <w:r>
              <w:rPr>
                <w:sz w:val="14"/>
              </w:rPr>
              <w:t>0,00</w:t>
            </w:r>
          </w:p>
        </w:tc>
      </w:tr>
      <w:tr>
        <w:trPr>
          <w:trHeight w:val="182" w:hRule="atLeast"/>
        </w:trPr>
        <w:tc>
          <w:tcPr>
            <w:tcW w:w="919" w:type="dxa"/>
          </w:tcPr>
          <w:p>
            <w:pPr>
              <w:pStyle w:val="TableParagraph"/>
              <w:spacing w:line="154" w:lineRule="exact"/>
              <w:ind w:right="59"/>
              <w:jc w:val="right"/>
              <w:rPr>
                <w:sz w:val="14"/>
              </w:rPr>
            </w:pPr>
            <w:r>
              <w:rPr>
                <w:w w:val="95"/>
                <w:sz w:val="14"/>
              </w:rPr>
              <w:t>20600003</w:t>
            </w:r>
          </w:p>
        </w:tc>
        <w:tc>
          <w:tcPr>
            <w:tcW w:w="2861" w:type="dxa"/>
          </w:tcPr>
          <w:p>
            <w:pPr>
              <w:pStyle w:val="TableParagraph"/>
              <w:spacing w:line="154" w:lineRule="exact"/>
              <w:ind w:left="69"/>
              <w:rPr>
                <w:sz w:val="14"/>
              </w:rPr>
            </w:pPr>
            <w:r>
              <w:rPr>
                <w:sz w:val="14"/>
              </w:rPr>
              <w:t>EXTRANET DOCENTES WEB ALUMNOS</w:t>
            </w:r>
          </w:p>
        </w:tc>
        <w:tc>
          <w:tcPr>
            <w:tcW w:w="1001" w:type="dxa"/>
          </w:tcPr>
          <w:p>
            <w:pPr>
              <w:pStyle w:val="TableParagraph"/>
              <w:spacing w:line="154" w:lineRule="exact"/>
              <w:ind w:right="61"/>
              <w:jc w:val="right"/>
              <w:rPr>
                <w:sz w:val="14"/>
              </w:rPr>
            </w:pPr>
            <w:r>
              <w:rPr>
                <w:w w:val="95"/>
                <w:sz w:val="14"/>
              </w:rPr>
              <w:t>13/01/2020</w:t>
            </w:r>
          </w:p>
        </w:tc>
        <w:tc>
          <w:tcPr>
            <w:tcW w:w="579" w:type="dxa"/>
          </w:tcPr>
          <w:p>
            <w:pPr>
              <w:pStyle w:val="TableParagraph"/>
              <w:spacing w:line="154" w:lineRule="exact"/>
              <w:ind w:right="60"/>
              <w:jc w:val="right"/>
              <w:rPr>
                <w:sz w:val="14"/>
              </w:rPr>
            </w:pPr>
            <w:r>
              <w:rPr>
                <w:w w:val="95"/>
                <w:sz w:val="14"/>
              </w:rPr>
              <w:t>33,00</w:t>
            </w:r>
          </w:p>
        </w:tc>
        <w:tc>
          <w:tcPr>
            <w:tcW w:w="862" w:type="dxa"/>
          </w:tcPr>
          <w:p>
            <w:pPr>
              <w:pStyle w:val="TableParagraph"/>
              <w:spacing w:line="154" w:lineRule="exact"/>
              <w:ind w:right="62"/>
              <w:jc w:val="right"/>
              <w:rPr>
                <w:sz w:val="14"/>
              </w:rPr>
            </w:pPr>
            <w:r>
              <w:rPr>
                <w:w w:val="95"/>
                <w:sz w:val="14"/>
              </w:rPr>
              <w:t>5.885,00</w:t>
            </w:r>
          </w:p>
        </w:tc>
        <w:tc>
          <w:tcPr>
            <w:tcW w:w="1006" w:type="dxa"/>
          </w:tcPr>
          <w:p>
            <w:pPr>
              <w:pStyle w:val="TableParagraph"/>
              <w:spacing w:line="154" w:lineRule="exact"/>
              <w:ind w:right="63"/>
              <w:jc w:val="right"/>
              <w:rPr>
                <w:sz w:val="14"/>
              </w:rPr>
            </w:pPr>
            <w:r>
              <w:rPr>
                <w:sz w:val="14"/>
              </w:rPr>
              <w:t>0,00</w:t>
            </w:r>
          </w:p>
        </w:tc>
        <w:tc>
          <w:tcPr>
            <w:tcW w:w="939" w:type="dxa"/>
          </w:tcPr>
          <w:p>
            <w:pPr>
              <w:pStyle w:val="TableParagraph"/>
              <w:spacing w:line="154" w:lineRule="exact"/>
              <w:ind w:right="63"/>
              <w:jc w:val="right"/>
              <w:rPr>
                <w:sz w:val="14"/>
              </w:rPr>
            </w:pPr>
            <w:r>
              <w:rPr>
                <w:w w:val="95"/>
                <w:sz w:val="14"/>
              </w:rPr>
              <w:t>5.885,00</w:t>
            </w:r>
          </w:p>
        </w:tc>
        <w:tc>
          <w:tcPr>
            <w:tcW w:w="881" w:type="dxa"/>
          </w:tcPr>
          <w:p>
            <w:pPr>
              <w:pStyle w:val="TableParagraph"/>
              <w:spacing w:line="154" w:lineRule="exact"/>
              <w:ind w:right="64"/>
              <w:jc w:val="right"/>
              <w:rPr>
                <w:sz w:val="14"/>
              </w:rPr>
            </w:pPr>
            <w:r>
              <w:rPr>
                <w:sz w:val="14"/>
              </w:rPr>
              <w:t>0,00</w:t>
            </w:r>
          </w:p>
        </w:tc>
      </w:tr>
      <w:tr>
        <w:trPr>
          <w:trHeight w:val="179" w:hRule="atLeast"/>
        </w:trPr>
        <w:tc>
          <w:tcPr>
            <w:tcW w:w="919" w:type="dxa"/>
          </w:tcPr>
          <w:p>
            <w:pPr>
              <w:pStyle w:val="TableParagraph"/>
              <w:spacing w:line="152" w:lineRule="exact"/>
              <w:ind w:right="59"/>
              <w:jc w:val="right"/>
              <w:rPr>
                <w:sz w:val="14"/>
              </w:rPr>
            </w:pPr>
            <w:r>
              <w:rPr>
                <w:w w:val="95"/>
                <w:sz w:val="14"/>
              </w:rPr>
              <w:t>20600004</w:t>
            </w:r>
          </w:p>
        </w:tc>
        <w:tc>
          <w:tcPr>
            <w:tcW w:w="2861" w:type="dxa"/>
          </w:tcPr>
          <w:p>
            <w:pPr>
              <w:pStyle w:val="TableParagraph"/>
              <w:spacing w:line="152" w:lineRule="exact"/>
              <w:ind w:left="69"/>
              <w:rPr>
                <w:sz w:val="14"/>
              </w:rPr>
            </w:pPr>
            <w:r>
              <w:rPr>
                <w:sz w:val="14"/>
              </w:rPr>
              <w:t>REDISEÑO PAGINA WEB</w:t>
            </w:r>
          </w:p>
        </w:tc>
        <w:tc>
          <w:tcPr>
            <w:tcW w:w="1001" w:type="dxa"/>
          </w:tcPr>
          <w:p>
            <w:pPr>
              <w:pStyle w:val="TableParagraph"/>
              <w:spacing w:line="152" w:lineRule="exact"/>
              <w:ind w:right="61"/>
              <w:jc w:val="right"/>
              <w:rPr>
                <w:sz w:val="14"/>
              </w:rPr>
            </w:pPr>
            <w:r>
              <w:rPr>
                <w:w w:val="95"/>
                <w:sz w:val="14"/>
              </w:rPr>
              <w:t>28/02/2022</w:t>
            </w:r>
          </w:p>
        </w:tc>
        <w:tc>
          <w:tcPr>
            <w:tcW w:w="579" w:type="dxa"/>
          </w:tcPr>
          <w:p>
            <w:pPr>
              <w:pStyle w:val="TableParagraph"/>
              <w:spacing w:line="152" w:lineRule="exact"/>
              <w:ind w:right="60"/>
              <w:jc w:val="right"/>
              <w:rPr>
                <w:sz w:val="14"/>
              </w:rPr>
            </w:pPr>
            <w:r>
              <w:rPr>
                <w:w w:val="95"/>
                <w:sz w:val="14"/>
              </w:rPr>
              <w:t>33,00</w:t>
            </w:r>
          </w:p>
        </w:tc>
        <w:tc>
          <w:tcPr>
            <w:tcW w:w="862" w:type="dxa"/>
          </w:tcPr>
          <w:p>
            <w:pPr>
              <w:pStyle w:val="TableParagraph"/>
              <w:spacing w:line="152" w:lineRule="exact"/>
              <w:ind w:right="62"/>
              <w:jc w:val="right"/>
              <w:rPr>
                <w:sz w:val="14"/>
              </w:rPr>
            </w:pPr>
            <w:r>
              <w:rPr>
                <w:sz w:val="14"/>
              </w:rPr>
              <w:t>690,00</w:t>
            </w:r>
          </w:p>
        </w:tc>
        <w:tc>
          <w:tcPr>
            <w:tcW w:w="1006" w:type="dxa"/>
          </w:tcPr>
          <w:p>
            <w:pPr>
              <w:pStyle w:val="TableParagraph"/>
              <w:spacing w:line="152" w:lineRule="exact"/>
              <w:ind w:right="63"/>
              <w:jc w:val="right"/>
              <w:rPr>
                <w:sz w:val="14"/>
              </w:rPr>
            </w:pPr>
            <w:r>
              <w:rPr>
                <w:sz w:val="14"/>
              </w:rPr>
              <w:t>227,70</w:t>
            </w:r>
          </w:p>
        </w:tc>
        <w:tc>
          <w:tcPr>
            <w:tcW w:w="939" w:type="dxa"/>
          </w:tcPr>
          <w:p>
            <w:pPr>
              <w:pStyle w:val="TableParagraph"/>
              <w:spacing w:line="152" w:lineRule="exact"/>
              <w:ind w:right="63"/>
              <w:jc w:val="right"/>
              <w:rPr>
                <w:sz w:val="14"/>
              </w:rPr>
            </w:pPr>
            <w:r>
              <w:rPr>
                <w:sz w:val="14"/>
              </w:rPr>
              <w:t>455,46</w:t>
            </w:r>
          </w:p>
        </w:tc>
        <w:tc>
          <w:tcPr>
            <w:tcW w:w="881" w:type="dxa"/>
          </w:tcPr>
          <w:p>
            <w:pPr>
              <w:pStyle w:val="TableParagraph"/>
              <w:spacing w:line="152" w:lineRule="exact"/>
              <w:ind w:right="64"/>
              <w:jc w:val="right"/>
              <w:rPr>
                <w:sz w:val="14"/>
              </w:rPr>
            </w:pPr>
            <w:r>
              <w:rPr>
                <w:sz w:val="14"/>
              </w:rPr>
              <w:t>234,54</w:t>
            </w:r>
          </w:p>
        </w:tc>
      </w:tr>
      <w:tr>
        <w:trPr>
          <w:trHeight w:val="179" w:hRule="atLeast"/>
        </w:trPr>
        <w:tc>
          <w:tcPr>
            <w:tcW w:w="919" w:type="dxa"/>
          </w:tcPr>
          <w:p>
            <w:pPr>
              <w:pStyle w:val="TableParagraph"/>
              <w:spacing w:line="152" w:lineRule="exact"/>
              <w:ind w:right="59"/>
              <w:jc w:val="right"/>
              <w:rPr>
                <w:sz w:val="14"/>
              </w:rPr>
            </w:pPr>
            <w:r>
              <w:rPr>
                <w:w w:val="95"/>
                <w:sz w:val="14"/>
              </w:rPr>
              <w:t>20600005</w:t>
            </w:r>
          </w:p>
        </w:tc>
        <w:tc>
          <w:tcPr>
            <w:tcW w:w="2861" w:type="dxa"/>
          </w:tcPr>
          <w:p>
            <w:pPr>
              <w:pStyle w:val="TableParagraph"/>
              <w:spacing w:line="152" w:lineRule="exact"/>
              <w:ind w:left="69"/>
              <w:rPr>
                <w:sz w:val="14"/>
              </w:rPr>
            </w:pPr>
            <w:r>
              <w:rPr>
                <w:sz w:val="14"/>
              </w:rPr>
              <w:t>PLATAFORMA SEDE ELEECTRONICA</w:t>
            </w:r>
          </w:p>
        </w:tc>
        <w:tc>
          <w:tcPr>
            <w:tcW w:w="1001" w:type="dxa"/>
          </w:tcPr>
          <w:p>
            <w:pPr>
              <w:pStyle w:val="TableParagraph"/>
              <w:spacing w:line="152" w:lineRule="exact"/>
              <w:ind w:right="61"/>
              <w:jc w:val="right"/>
              <w:rPr>
                <w:sz w:val="14"/>
              </w:rPr>
            </w:pPr>
            <w:r>
              <w:rPr>
                <w:w w:val="95"/>
                <w:sz w:val="14"/>
              </w:rPr>
              <w:t>25/05/2022</w:t>
            </w:r>
          </w:p>
        </w:tc>
        <w:tc>
          <w:tcPr>
            <w:tcW w:w="579" w:type="dxa"/>
          </w:tcPr>
          <w:p>
            <w:pPr>
              <w:pStyle w:val="TableParagraph"/>
              <w:spacing w:line="152" w:lineRule="exact"/>
              <w:ind w:right="60"/>
              <w:jc w:val="right"/>
              <w:rPr>
                <w:sz w:val="14"/>
              </w:rPr>
            </w:pPr>
            <w:r>
              <w:rPr>
                <w:w w:val="95"/>
                <w:sz w:val="14"/>
              </w:rPr>
              <w:t>33,00</w:t>
            </w:r>
          </w:p>
        </w:tc>
        <w:tc>
          <w:tcPr>
            <w:tcW w:w="862" w:type="dxa"/>
          </w:tcPr>
          <w:p>
            <w:pPr>
              <w:pStyle w:val="TableParagraph"/>
              <w:spacing w:line="152" w:lineRule="exact"/>
              <w:ind w:right="62"/>
              <w:jc w:val="right"/>
              <w:rPr>
                <w:sz w:val="14"/>
              </w:rPr>
            </w:pPr>
            <w:r>
              <w:rPr>
                <w:w w:val="95"/>
                <w:sz w:val="14"/>
              </w:rPr>
              <w:t>2.927,16</w:t>
            </w:r>
          </w:p>
        </w:tc>
        <w:tc>
          <w:tcPr>
            <w:tcW w:w="1006" w:type="dxa"/>
          </w:tcPr>
          <w:p>
            <w:pPr>
              <w:pStyle w:val="TableParagraph"/>
              <w:spacing w:line="152" w:lineRule="exact"/>
              <w:ind w:right="63"/>
              <w:jc w:val="right"/>
              <w:rPr>
                <w:sz w:val="14"/>
              </w:rPr>
            </w:pPr>
            <w:r>
              <w:rPr>
                <w:sz w:val="14"/>
              </w:rPr>
              <w:t>965,96</w:t>
            </w:r>
          </w:p>
        </w:tc>
        <w:tc>
          <w:tcPr>
            <w:tcW w:w="939" w:type="dxa"/>
          </w:tcPr>
          <w:p>
            <w:pPr>
              <w:pStyle w:val="TableParagraph"/>
              <w:spacing w:line="152" w:lineRule="exact"/>
              <w:ind w:right="63"/>
              <w:jc w:val="right"/>
              <w:rPr>
                <w:sz w:val="14"/>
              </w:rPr>
            </w:pPr>
            <w:r>
              <w:rPr>
                <w:w w:val="95"/>
                <w:sz w:val="14"/>
              </w:rPr>
              <w:t>1.931,96</w:t>
            </w:r>
          </w:p>
        </w:tc>
        <w:tc>
          <w:tcPr>
            <w:tcW w:w="881" w:type="dxa"/>
          </w:tcPr>
          <w:p>
            <w:pPr>
              <w:pStyle w:val="TableParagraph"/>
              <w:spacing w:line="152" w:lineRule="exact"/>
              <w:ind w:right="64"/>
              <w:jc w:val="right"/>
              <w:rPr>
                <w:sz w:val="14"/>
              </w:rPr>
            </w:pPr>
            <w:r>
              <w:rPr>
                <w:sz w:val="14"/>
              </w:rPr>
              <w:t>995,20</w:t>
            </w:r>
          </w:p>
        </w:tc>
      </w:tr>
      <w:tr>
        <w:trPr>
          <w:trHeight w:val="179" w:hRule="atLeast"/>
        </w:trPr>
        <w:tc>
          <w:tcPr>
            <w:tcW w:w="919" w:type="dxa"/>
          </w:tcPr>
          <w:p>
            <w:pPr>
              <w:pStyle w:val="TableParagraph"/>
              <w:spacing w:before="0"/>
              <w:rPr>
                <w:rFonts w:ascii="Times New Roman"/>
                <w:sz w:val="12"/>
              </w:rPr>
            </w:pPr>
          </w:p>
        </w:tc>
        <w:tc>
          <w:tcPr>
            <w:tcW w:w="4441" w:type="dxa"/>
            <w:gridSpan w:val="3"/>
          </w:tcPr>
          <w:p>
            <w:pPr>
              <w:pStyle w:val="TableParagraph"/>
              <w:spacing w:line="152" w:lineRule="exact"/>
              <w:ind w:left="1123"/>
              <w:rPr>
                <w:b/>
                <w:sz w:val="14"/>
              </w:rPr>
            </w:pPr>
            <w:r>
              <w:rPr>
                <w:b/>
                <w:sz w:val="14"/>
              </w:rPr>
              <w:t>TOTAL APLICACIONES INFORMATICAS</w:t>
            </w:r>
          </w:p>
        </w:tc>
        <w:tc>
          <w:tcPr>
            <w:tcW w:w="862" w:type="dxa"/>
          </w:tcPr>
          <w:p>
            <w:pPr>
              <w:pStyle w:val="TableParagraph"/>
              <w:spacing w:line="152" w:lineRule="exact"/>
              <w:ind w:right="62"/>
              <w:jc w:val="right"/>
              <w:rPr>
                <w:b/>
                <w:sz w:val="14"/>
              </w:rPr>
            </w:pPr>
            <w:r>
              <w:rPr>
                <w:b/>
                <w:w w:val="95"/>
                <w:sz w:val="14"/>
              </w:rPr>
              <w:t>10.417,16</w:t>
            </w:r>
          </w:p>
        </w:tc>
        <w:tc>
          <w:tcPr>
            <w:tcW w:w="1006" w:type="dxa"/>
          </w:tcPr>
          <w:p>
            <w:pPr>
              <w:pStyle w:val="TableParagraph"/>
              <w:spacing w:line="152" w:lineRule="exact"/>
              <w:ind w:right="63"/>
              <w:jc w:val="right"/>
              <w:rPr>
                <w:b/>
                <w:sz w:val="14"/>
              </w:rPr>
            </w:pPr>
            <w:r>
              <w:rPr>
                <w:b/>
                <w:w w:val="95"/>
                <w:sz w:val="14"/>
              </w:rPr>
              <w:t>1.193,66</w:t>
            </w:r>
          </w:p>
        </w:tc>
        <w:tc>
          <w:tcPr>
            <w:tcW w:w="939" w:type="dxa"/>
          </w:tcPr>
          <w:p>
            <w:pPr>
              <w:pStyle w:val="TableParagraph"/>
              <w:spacing w:line="152" w:lineRule="exact"/>
              <w:ind w:right="63"/>
              <w:jc w:val="right"/>
              <w:rPr>
                <w:b/>
                <w:sz w:val="14"/>
              </w:rPr>
            </w:pPr>
            <w:r>
              <w:rPr>
                <w:b/>
                <w:w w:val="95"/>
                <w:sz w:val="14"/>
              </w:rPr>
              <w:t>9.187,42</w:t>
            </w:r>
          </w:p>
        </w:tc>
        <w:tc>
          <w:tcPr>
            <w:tcW w:w="881" w:type="dxa"/>
          </w:tcPr>
          <w:p>
            <w:pPr>
              <w:pStyle w:val="TableParagraph"/>
              <w:spacing w:line="152" w:lineRule="exact"/>
              <w:ind w:right="64"/>
              <w:jc w:val="right"/>
              <w:rPr>
                <w:b/>
                <w:sz w:val="14"/>
              </w:rPr>
            </w:pPr>
            <w:r>
              <w:rPr>
                <w:b/>
                <w:w w:val="95"/>
                <w:sz w:val="14"/>
              </w:rPr>
              <w:t>1.229,74</w:t>
            </w:r>
          </w:p>
        </w:tc>
      </w:tr>
      <w:tr>
        <w:trPr>
          <w:trHeight w:val="179" w:hRule="atLeast"/>
        </w:trPr>
        <w:tc>
          <w:tcPr>
            <w:tcW w:w="919" w:type="dxa"/>
          </w:tcPr>
          <w:p>
            <w:pPr>
              <w:pStyle w:val="TableParagraph"/>
              <w:spacing w:line="152" w:lineRule="exact"/>
              <w:ind w:right="59"/>
              <w:jc w:val="right"/>
              <w:rPr>
                <w:sz w:val="14"/>
              </w:rPr>
            </w:pPr>
            <w:r>
              <w:rPr>
                <w:w w:val="95"/>
                <w:sz w:val="14"/>
              </w:rPr>
              <w:t>21500001</w:t>
            </w:r>
          </w:p>
        </w:tc>
        <w:tc>
          <w:tcPr>
            <w:tcW w:w="2861" w:type="dxa"/>
          </w:tcPr>
          <w:p>
            <w:pPr>
              <w:pStyle w:val="TableParagraph"/>
              <w:spacing w:line="152" w:lineRule="exact"/>
              <w:ind w:left="69"/>
              <w:rPr>
                <w:sz w:val="14"/>
              </w:rPr>
            </w:pPr>
            <w:r>
              <w:rPr>
                <w:sz w:val="14"/>
              </w:rPr>
              <w:t>PARQUET VINILO ESCUELA MUSICA</w:t>
            </w:r>
          </w:p>
        </w:tc>
        <w:tc>
          <w:tcPr>
            <w:tcW w:w="1001" w:type="dxa"/>
          </w:tcPr>
          <w:p>
            <w:pPr>
              <w:pStyle w:val="TableParagraph"/>
              <w:spacing w:line="152" w:lineRule="exact"/>
              <w:ind w:right="61"/>
              <w:jc w:val="right"/>
              <w:rPr>
                <w:sz w:val="14"/>
              </w:rPr>
            </w:pPr>
            <w:r>
              <w:rPr>
                <w:w w:val="95"/>
                <w:sz w:val="14"/>
              </w:rPr>
              <w:t>25/07/2012</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1.456,02</w:t>
            </w:r>
          </w:p>
        </w:tc>
        <w:tc>
          <w:tcPr>
            <w:tcW w:w="1006" w:type="dxa"/>
          </w:tcPr>
          <w:p>
            <w:pPr>
              <w:pStyle w:val="TableParagraph"/>
              <w:spacing w:line="152" w:lineRule="exact"/>
              <w:ind w:right="63"/>
              <w:jc w:val="right"/>
              <w:rPr>
                <w:sz w:val="14"/>
              </w:rPr>
            </w:pPr>
            <w:r>
              <w:rPr>
                <w:sz w:val="14"/>
              </w:rPr>
              <w:t>0,00</w:t>
            </w:r>
          </w:p>
        </w:tc>
        <w:tc>
          <w:tcPr>
            <w:tcW w:w="939" w:type="dxa"/>
          </w:tcPr>
          <w:p>
            <w:pPr>
              <w:pStyle w:val="TableParagraph"/>
              <w:spacing w:line="152" w:lineRule="exact"/>
              <w:ind w:right="63"/>
              <w:jc w:val="right"/>
              <w:rPr>
                <w:sz w:val="14"/>
              </w:rPr>
            </w:pPr>
            <w:r>
              <w:rPr>
                <w:w w:val="95"/>
                <w:sz w:val="14"/>
              </w:rPr>
              <w:t>1.456,02</w:t>
            </w:r>
          </w:p>
        </w:tc>
        <w:tc>
          <w:tcPr>
            <w:tcW w:w="881" w:type="dxa"/>
          </w:tcPr>
          <w:p>
            <w:pPr>
              <w:pStyle w:val="TableParagraph"/>
              <w:spacing w:line="152" w:lineRule="exact"/>
              <w:ind w:right="64"/>
              <w:jc w:val="right"/>
              <w:rPr>
                <w:sz w:val="14"/>
              </w:rPr>
            </w:pPr>
            <w:r>
              <w:rPr>
                <w:sz w:val="14"/>
              </w:rPr>
              <w:t>0,00</w:t>
            </w:r>
          </w:p>
        </w:tc>
      </w:tr>
      <w:tr>
        <w:trPr>
          <w:trHeight w:val="179" w:hRule="atLeast"/>
        </w:trPr>
        <w:tc>
          <w:tcPr>
            <w:tcW w:w="919" w:type="dxa"/>
          </w:tcPr>
          <w:p>
            <w:pPr>
              <w:pStyle w:val="TableParagraph"/>
              <w:spacing w:line="152" w:lineRule="exact"/>
              <w:ind w:right="59"/>
              <w:jc w:val="right"/>
              <w:rPr>
                <w:sz w:val="14"/>
              </w:rPr>
            </w:pPr>
            <w:r>
              <w:rPr>
                <w:w w:val="95"/>
                <w:sz w:val="14"/>
              </w:rPr>
              <w:t>21500002</w:t>
            </w:r>
          </w:p>
        </w:tc>
        <w:tc>
          <w:tcPr>
            <w:tcW w:w="2861" w:type="dxa"/>
          </w:tcPr>
          <w:p>
            <w:pPr>
              <w:pStyle w:val="TableParagraph"/>
              <w:spacing w:line="152" w:lineRule="exact"/>
              <w:ind w:left="69"/>
              <w:rPr>
                <w:sz w:val="14"/>
              </w:rPr>
            </w:pPr>
            <w:r>
              <w:rPr>
                <w:sz w:val="14"/>
              </w:rPr>
              <w:t>TRABAJOS PINTURA AULAS</w:t>
            </w:r>
          </w:p>
        </w:tc>
        <w:tc>
          <w:tcPr>
            <w:tcW w:w="1001" w:type="dxa"/>
          </w:tcPr>
          <w:p>
            <w:pPr>
              <w:pStyle w:val="TableParagraph"/>
              <w:spacing w:line="152" w:lineRule="exact"/>
              <w:ind w:right="61"/>
              <w:jc w:val="right"/>
              <w:rPr>
                <w:sz w:val="14"/>
              </w:rPr>
            </w:pPr>
            <w:r>
              <w:rPr>
                <w:w w:val="95"/>
                <w:sz w:val="14"/>
              </w:rPr>
              <w:t>18/12/2018</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2.276,00</w:t>
            </w:r>
          </w:p>
        </w:tc>
        <w:tc>
          <w:tcPr>
            <w:tcW w:w="1006" w:type="dxa"/>
          </w:tcPr>
          <w:p>
            <w:pPr>
              <w:pStyle w:val="TableParagraph"/>
              <w:spacing w:line="152" w:lineRule="exact"/>
              <w:ind w:right="63"/>
              <w:jc w:val="right"/>
              <w:rPr>
                <w:sz w:val="14"/>
              </w:rPr>
            </w:pPr>
            <w:r>
              <w:rPr>
                <w:sz w:val="14"/>
              </w:rPr>
              <w:t>227,60</w:t>
            </w:r>
          </w:p>
        </w:tc>
        <w:tc>
          <w:tcPr>
            <w:tcW w:w="939" w:type="dxa"/>
          </w:tcPr>
          <w:p>
            <w:pPr>
              <w:pStyle w:val="TableParagraph"/>
              <w:spacing w:line="152" w:lineRule="exact"/>
              <w:ind w:right="63"/>
              <w:jc w:val="right"/>
              <w:rPr>
                <w:sz w:val="14"/>
              </w:rPr>
            </w:pPr>
            <w:r>
              <w:rPr>
                <w:w w:val="95"/>
                <w:sz w:val="14"/>
              </w:rPr>
              <w:t>1.365,80</w:t>
            </w:r>
          </w:p>
        </w:tc>
        <w:tc>
          <w:tcPr>
            <w:tcW w:w="881" w:type="dxa"/>
          </w:tcPr>
          <w:p>
            <w:pPr>
              <w:pStyle w:val="TableParagraph"/>
              <w:spacing w:line="152" w:lineRule="exact"/>
              <w:ind w:right="64"/>
              <w:jc w:val="right"/>
              <w:rPr>
                <w:sz w:val="14"/>
              </w:rPr>
            </w:pPr>
            <w:r>
              <w:rPr>
                <w:sz w:val="14"/>
              </w:rPr>
              <w:t>910,20</w:t>
            </w:r>
          </w:p>
        </w:tc>
      </w:tr>
      <w:tr>
        <w:trPr>
          <w:trHeight w:val="182" w:hRule="atLeast"/>
        </w:trPr>
        <w:tc>
          <w:tcPr>
            <w:tcW w:w="919" w:type="dxa"/>
          </w:tcPr>
          <w:p>
            <w:pPr>
              <w:pStyle w:val="TableParagraph"/>
              <w:spacing w:line="154" w:lineRule="exact"/>
              <w:ind w:right="59"/>
              <w:jc w:val="right"/>
              <w:rPr>
                <w:sz w:val="14"/>
              </w:rPr>
            </w:pPr>
            <w:r>
              <w:rPr>
                <w:w w:val="95"/>
                <w:sz w:val="14"/>
              </w:rPr>
              <w:t>21500003</w:t>
            </w:r>
          </w:p>
        </w:tc>
        <w:tc>
          <w:tcPr>
            <w:tcW w:w="2861" w:type="dxa"/>
          </w:tcPr>
          <w:p>
            <w:pPr>
              <w:pStyle w:val="TableParagraph"/>
              <w:spacing w:line="154" w:lineRule="exact"/>
              <w:ind w:left="69"/>
              <w:rPr>
                <w:sz w:val="14"/>
              </w:rPr>
            </w:pPr>
            <w:r>
              <w:rPr>
                <w:sz w:val="14"/>
              </w:rPr>
              <w:t>INSTALACION EXTINTORES</w:t>
            </w:r>
          </w:p>
        </w:tc>
        <w:tc>
          <w:tcPr>
            <w:tcW w:w="1001" w:type="dxa"/>
          </w:tcPr>
          <w:p>
            <w:pPr>
              <w:pStyle w:val="TableParagraph"/>
              <w:spacing w:line="154" w:lineRule="exact"/>
              <w:ind w:right="61"/>
              <w:jc w:val="right"/>
              <w:rPr>
                <w:sz w:val="14"/>
              </w:rPr>
            </w:pPr>
            <w:r>
              <w:rPr>
                <w:w w:val="95"/>
                <w:sz w:val="14"/>
              </w:rPr>
              <w:t>30/11/2018</w:t>
            </w:r>
          </w:p>
        </w:tc>
        <w:tc>
          <w:tcPr>
            <w:tcW w:w="579" w:type="dxa"/>
          </w:tcPr>
          <w:p>
            <w:pPr>
              <w:pStyle w:val="TableParagraph"/>
              <w:spacing w:line="154" w:lineRule="exact"/>
              <w:ind w:right="60"/>
              <w:jc w:val="right"/>
              <w:rPr>
                <w:sz w:val="14"/>
              </w:rPr>
            </w:pPr>
            <w:r>
              <w:rPr>
                <w:w w:val="95"/>
                <w:sz w:val="14"/>
              </w:rPr>
              <w:t>10,00</w:t>
            </w:r>
          </w:p>
        </w:tc>
        <w:tc>
          <w:tcPr>
            <w:tcW w:w="862" w:type="dxa"/>
          </w:tcPr>
          <w:p>
            <w:pPr>
              <w:pStyle w:val="TableParagraph"/>
              <w:spacing w:line="154" w:lineRule="exact"/>
              <w:ind w:right="62"/>
              <w:jc w:val="right"/>
              <w:rPr>
                <w:sz w:val="14"/>
              </w:rPr>
            </w:pPr>
            <w:r>
              <w:rPr>
                <w:sz w:val="14"/>
              </w:rPr>
              <w:t>401,36</w:t>
            </w:r>
          </w:p>
        </w:tc>
        <w:tc>
          <w:tcPr>
            <w:tcW w:w="1006" w:type="dxa"/>
          </w:tcPr>
          <w:p>
            <w:pPr>
              <w:pStyle w:val="TableParagraph"/>
              <w:spacing w:line="154" w:lineRule="exact"/>
              <w:ind w:right="63"/>
              <w:jc w:val="right"/>
              <w:rPr>
                <w:sz w:val="14"/>
              </w:rPr>
            </w:pPr>
            <w:r>
              <w:rPr>
                <w:w w:val="95"/>
                <w:sz w:val="14"/>
              </w:rPr>
              <w:t>40,14</w:t>
            </w:r>
          </w:p>
        </w:tc>
        <w:tc>
          <w:tcPr>
            <w:tcW w:w="939" w:type="dxa"/>
          </w:tcPr>
          <w:p>
            <w:pPr>
              <w:pStyle w:val="TableParagraph"/>
              <w:spacing w:line="154" w:lineRule="exact"/>
              <w:ind w:right="63"/>
              <w:jc w:val="right"/>
              <w:rPr>
                <w:sz w:val="14"/>
              </w:rPr>
            </w:pPr>
            <w:r>
              <w:rPr>
                <w:sz w:val="14"/>
              </w:rPr>
              <w:t>243,88</w:t>
            </w:r>
          </w:p>
        </w:tc>
        <w:tc>
          <w:tcPr>
            <w:tcW w:w="881" w:type="dxa"/>
          </w:tcPr>
          <w:p>
            <w:pPr>
              <w:pStyle w:val="TableParagraph"/>
              <w:spacing w:line="154" w:lineRule="exact"/>
              <w:ind w:right="64"/>
              <w:jc w:val="right"/>
              <w:rPr>
                <w:sz w:val="14"/>
              </w:rPr>
            </w:pPr>
            <w:r>
              <w:rPr>
                <w:sz w:val="14"/>
              </w:rPr>
              <w:t>157,48</w:t>
            </w:r>
          </w:p>
        </w:tc>
      </w:tr>
      <w:tr>
        <w:trPr>
          <w:trHeight w:val="179" w:hRule="atLeast"/>
        </w:trPr>
        <w:tc>
          <w:tcPr>
            <w:tcW w:w="919" w:type="dxa"/>
          </w:tcPr>
          <w:p>
            <w:pPr>
              <w:pStyle w:val="TableParagraph"/>
              <w:spacing w:line="152" w:lineRule="exact"/>
              <w:ind w:right="59"/>
              <w:jc w:val="right"/>
              <w:rPr>
                <w:sz w:val="14"/>
              </w:rPr>
            </w:pPr>
            <w:r>
              <w:rPr>
                <w:w w:val="95"/>
                <w:sz w:val="14"/>
              </w:rPr>
              <w:t>21500004</w:t>
            </w:r>
          </w:p>
        </w:tc>
        <w:tc>
          <w:tcPr>
            <w:tcW w:w="2861" w:type="dxa"/>
          </w:tcPr>
          <w:p>
            <w:pPr>
              <w:pStyle w:val="TableParagraph"/>
              <w:spacing w:line="152" w:lineRule="exact"/>
              <w:ind w:left="69"/>
              <w:rPr>
                <w:sz w:val="14"/>
              </w:rPr>
            </w:pPr>
            <w:r>
              <w:rPr>
                <w:sz w:val="14"/>
              </w:rPr>
              <w:t>VENTILACION AULAS COVID-19</w:t>
            </w:r>
          </w:p>
        </w:tc>
        <w:tc>
          <w:tcPr>
            <w:tcW w:w="1001" w:type="dxa"/>
          </w:tcPr>
          <w:p>
            <w:pPr>
              <w:pStyle w:val="TableParagraph"/>
              <w:spacing w:line="152" w:lineRule="exact"/>
              <w:ind w:right="61"/>
              <w:jc w:val="right"/>
              <w:rPr>
                <w:sz w:val="14"/>
              </w:rPr>
            </w:pPr>
            <w:r>
              <w:rPr>
                <w:w w:val="95"/>
                <w:sz w:val="14"/>
              </w:rPr>
              <w:t>09/03/2021</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2.525,19</w:t>
            </w:r>
          </w:p>
        </w:tc>
        <w:tc>
          <w:tcPr>
            <w:tcW w:w="1006" w:type="dxa"/>
          </w:tcPr>
          <w:p>
            <w:pPr>
              <w:pStyle w:val="TableParagraph"/>
              <w:spacing w:line="152" w:lineRule="exact"/>
              <w:ind w:right="63"/>
              <w:jc w:val="right"/>
              <w:rPr>
                <w:sz w:val="14"/>
              </w:rPr>
            </w:pPr>
            <w:r>
              <w:rPr>
                <w:sz w:val="14"/>
              </w:rPr>
              <w:t>252,52</w:t>
            </w:r>
          </w:p>
        </w:tc>
        <w:tc>
          <w:tcPr>
            <w:tcW w:w="939" w:type="dxa"/>
          </w:tcPr>
          <w:p>
            <w:pPr>
              <w:pStyle w:val="TableParagraph"/>
              <w:spacing w:line="152" w:lineRule="exact"/>
              <w:ind w:right="63"/>
              <w:jc w:val="right"/>
              <w:rPr>
                <w:sz w:val="14"/>
              </w:rPr>
            </w:pPr>
            <w:r>
              <w:rPr>
                <w:sz w:val="14"/>
              </w:rPr>
              <w:t>967,88</w:t>
            </w:r>
          </w:p>
        </w:tc>
        <w:tc>
          <w:tcPr>
            <w:tcW w:w="881" w:type="dxa"/>
          </w:tcPr>
          <w:p>
            <w:pPr>
              <w:pStyle w:val="TableParagraph"/>
              <w:spacing w:line="152" w:lineRule="exact"/>
              <w:ind w:right="64"/>
              <w:jc w:val="right"/>
              <w:rPr>
                <w:sz w:val="14"/>
              </w:rPr>
            </w:pPr>
            <w:r>
              <w:rPr>
                <w:w w:val="95"/>
                <w:sz w:val="14"/>
              </w:rPr>
              <w:t>1.557,31</w:t>
            </w:r>
          </w:p>
        </w:tc>
      </w:tr>
      <w:tr>
        <w:trPr>
          <w:trHeight w:val="179" w:hRule="atLeast"/>
        </w:trPr>
        <w:tc>
          <w:tcPr>
            <w:tcW w:w="919" w:type="dxa"/>
          </w:tcPr>
          <w:p>
            <w:pPr>
              <w:pStyle w:val="TableParagraph"/>
              <w:spacing w:line="152" w:lineRule="exact"/>
              <w:ind w:right="59"/>
              <w:jc w:val="right"/>
              <w:rPr>
                <w:sz w:val="14"/>
              </w:rPr>
            </w:pPr>
            <w:r>
              <w:rPr>
                <w:w w:val="95"/>
                <w:sz w:val="14"/>
              </w:rPr>
              <w:t>21500005</w:t>
            </w:r>
          </w:p>
        </w:tc>
        <w:tc>
          <w:tcPr>
            <w:tcW w:w="2861" w:type="dxa"/>
          </w:tcPr>
          <w:p>
            <w:pPr>
              <w:pStyle w:val="TableParagraph"/>
              <w:spacing w:line="152" w:lineRule="exact"/>
              <w:ind w:left="69"/>
              <w:rPr>
                <w:sz w:val="14"/>
              </w:rPr>
            </w:pPr>
            <w:r>
              <w:rPr>
                <w:sz w:val="14"/>
              </w:rPr>
              <w:t>INSTALACION ELECTRICA</w:t>
            </w:r>
          </w:p>
        </w:tc>
        <w:tc>
          <w:tcPr>
            <w:tcW w:w="1001" w:type="dxa"/>
          </w:tcPr>
          <w:p>
            <w:pPr>
              <w:pStyle w:val="TableParagraph"/>
              <w:spacing w:line="152" w:lineRule="exact"/>
              <w:ind w:right="61"/>
              <w:jc w:val="right"/>
              <w:rPr>
                <w:sz w:val="14"/>
              </w:rPr>
            </w:pPr>
            <w:r>
              <w:rPr>
                <w:w w:val="95"/>
                <w:sz w:val="14"/>
              </w:rPr>
              <w:t>27/12/2022</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2.916,69</w:t>
            </w:r>
          </w:p>
        </w:tc>
        <w:tc>
          <w:tcPr>
            <w:tcW w:w="1006" w:type="dxa"/>
          </w:tcPr>
          <w:p>
            <w:pPr>
              <w:pStyle w:val="TableParagraph"/>
              <w:spacing w:line="152" w:lineRule="exact"/>
              <w:ind w:right="63"/>
              <w:jc w:val="right"/>
              <w:rPr>
                <w:sz w:val="14"/>
              </w:rPr>
            </w:pPr>
            <w:r>
              <w:rPr>
                <w:sz w:val="14"/>
              </w:rPr>
              <w:t>291,67</w:t>
            </w:r>
          </w:p>
        </w:tc>
        <w:tc>
          <w:tcPr>
            <w:tcW w:w="939" w:type="dxa"/>
          </w:tcPr>
          <w:p>
            <w:pPr>
              <w:pStyle w:val="TableParagraph"/>
              <w:spacing w:line="152" w:lineRule="exact"/>
              <w:ind w:right="63"/>
              <w:jc w:val="right"/>
              <w:rPr>
                <w:sz w:val="14"/>
              </w:rPr>
            </w:pPr>
            <w:r>
              <w:rPr>
                <w:sz w:val="14"/>
              </w:rPr>
              <w:t>583,39</w:t>
            </w:r>
          </w:p>
        </w:tc>
        <w:tc>
          <w:tcPr>
            <w:tcW w:w="881" w:type="dxa"/>
          </w:tcPr>
          <w:p>
            <w:pPr>
              <w:pStyle w:val="TableParagraph"/>
              <w:spacing w:line="152" w:lineRule="exact"/>
              <w:ind w:right="64"/>
              <w:jc w:val="right"/>
              <w:rPr>
                <w:sz w:val="14"/>
              </w:rPr>
            </w:pPr>
            <w:r>
              <w:rPr>
                <w:w w:val="95"/>
                <w:sz w:val="14"/>
              </w:rPr>
              <w:t>2.333,30</w:t>
            </w:r>
          </w:p>
        </w:tc>
      </w:tr>
      <w:tr>
        <w:trPr>
          <w:trHeight w:val="179" w:hRule="atLeast"/>
        </w:trPr>
        <w:tc>
          <w:tcPr>
            <w:tcW w:w="919" w:type="dxa"/>
          </w:tcPr>
          <w:p>
            <w:pPr>
              <w:pStyle w:val="TableParagraph"/>
              <w:spacing w:line="152" w:lineRule="exact"/>
              <w:ind w:right="59"/>
              <w:jc w:val="right"/>
              <w:rPr>
                <w:sz w:val="14"/>
              </w:rPr>
            </w:pPr>
            <w:r>
              <w:rPr>
                <w:w w:val="95"/>
                <w:sz w:val="14"/>
              </w:rPr>
              <w:t>21500006</w:t>
            </w:r>
          </w:p>
        </w:tc>
        <w:tc>
          <w:tcPr>
            <w:tcW w:w="2861" w:type="dxa"/>
          </w:tcPr>
          <w:p>
            <w:pPr>
              <w:pStyle w:val="TableParagraph"/>
              <w:spacing w:line="152" w:lineRule="exact"/>
              <w:ind w:left="69"/>
              <w:rPr>
                <w:sz w:val="14"/>
              </w:rPr>
            </w:pPr>
            <w:r>
              <w:rPr>
                <w:sz w:val="14"/>
              </w:rPr>
              <w:t>REFORMA CASA LA CULTURA</w:t>
            </w:r>
          </w:p>
        </w:tc>
        <w:tc>
          <w:tcPr>
            <w:tcW w:w="1001" w:type="dxa"/>
          </w:tcPr>
          <w:p>
            <w:pPr>
              <w:pStyle w:val="TableParagraph"/>
              <w:spacing w:line="152" w:lineRule="exact"/>
              <w:ind w:right="61"/>
              <w:jc w:val="right"/>
              <w:rPr>
                <w:sz w:val="14"/>
              </w:rPr>
            </w:pPr>
            <w:r>
              <w:rPr>
                <w:w w:val="95"/>
                <w:sz w:val="14"/>
              </w:rPr>
              <w:t>18/02/2022</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3.151,47</w:t>
            </w:r>
          </w:p>
        </w:tc>
        <w:tc>
          <w:tcPr>
            <w:tcW w:w="1006" w:type="dxa"/>
          </w:tcPr>
          <w:p>
            <w:pPr>
              <w:pStyle w:val="TableParagraph"/>
              <w:spacing w:line="152" w:lineRule="exact"/>
              <w:ind w:right="63"/>
              <w:jc w:val="right"/>
              <w:rPr>
                <w:sz w:val="14"/>
              </w:rPr>
            </w:pPr>
            <w:r>
              <w:rPr>
                <w:sz w:val="14"/>
              </w:rPr>
              <w:t>315,15</w:t>
            </w:r>
          </w:p>
        </w:tc>
        <w:tc>
          <w:tcPr>
            <w:tcW w:w="939" w:type="dxa"/>
          </w:tcPr>
          <w:p>
            <w:pPr>
              <w:pStyle w:val="TableParagraph"/>
              <w:spacing w:line="152" w:lineRule="exact"/>
              <w:ind w:right="63"/>
              <w:jc w:val="right"/>
              <w:rPr>
                <w:sz w:val="14"/>
              </w:rPr>
            </w:pPr>
            <w:r>
              <w:rPr>
                <w:sz w:val="14"/>
              </w:rPr>
              <w:t>892,87</w:t>
            </w:r>
          </w:p>
        </w:tc>
        <w:tc>
          <w:tcPr>
            <w:tcW w:w="881" w:type="dxa"/>
          </w:tcPr>
          <w:p>
            <w:pPr>
              <w:pStyle w:val="TableParagraph"/>
              <w:spacing w:line="152" w:lineRule="exact"/>
              <w:ind w:right="64"/>
              <w:jc w:val="right"/>
              <w:rPr>
                <w:sz w:val="14"/>
              </w:rPr>
            </w:pPr>
            <w:r>
              <w:rPr>
                <w:w w:val="95"/>
                <w:sz w:val="14"/>
              </w:rPr>
              <w:t>2.258,60</w:t>
            </w:r>
          </w:p>
        </w:tc>
      </w:tr>
      <w:tr>
        <w:trPr>
          <w:trHeight w:val="179" w:hRule="atLeast"/>
        </w:trPr>
        <w:tc>
          <w:tcPr>
            <w:tcW w:w="919" w:type="dxa"/>
          </w:tcPr>
          <w:p>
            <w:pPr>
              <w:pStyle w:val="TableParagraph"/>
              <w:spacing w:line="152" w:lineRule="exact"/>
              <w:ind w:right="59"/>
              <w:jc w:val="right"/>
              <w:rPr>
                <w:sz w:val="14"/>
              </w:rPr>
            </w:pPr>
            <w:r>
              <w:rPr>
                <w:w w:val="95"/>
                <w:sz w:val="14"/>
              </w:rPr>
              <w:t>21500007</w:t>
            </w:r>
          </w:p>
        </w:tc>
        <w:tc>
          <w:tcPr>
            <w:tcW w:w="2861" w:type="dxa"/>
          </w:tcPr>
          <w:p>
            <w:pPr>
              <w:pStyle w:val="TableParagraph"/>
              <w:spacing w:line="152" w:lineRule="exact"/>
              <w:ind w:left="69"/>
              <w:rPr>
                <w:sz w:val="14"/>
              </w:rPr>
            </w:pPr>
            <w:r>
              <w:rPr>
                <w:sz w:val="14"/>
              </w:rPr>
              <w:t>REFORMA FACHADA</w:t>
            </w:r>
          </w:p>
        </w:tc>
        <w:tc>
          <w:tcPr>
            <w:tcW w:w="1001" w:type="dxa"/>
          </w:tcPr>
          <w:p>
            <w:pPr>
              <w:pStyle w:val="TableParagraph"/>
              <w:spacing w:line="152" w:lineRule="exact"/>
              <w:ind w:right="61"/>
              <w:jc w:val="right"/>
              <w:rPr>
                <w:sz w:val="14"/>
              </w:rPr>
            </w:pPr>
            <w:r>
              <w:rPr>
                <w:w w:val="95"/>
                <w:sz w:val="14"/>
              </w:rPr>
              <w:t>20/06/2022</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1.995,26</w:t>
            </w:r>
          </w:p>
        </w:tc>
        <w:tc>
          <w:tcPr>
            <w:tcW w:w="1006" w:type="dxa"/>
          </w:tcPr>
          <w:p>
            <w:pPr>
              <w:pStyle w:val="TableParagraph"/>
              <w:spacing w:line="152" w:lineRule="exact"/>
              <w:ind w:right="63"/>
              <w:jc w:val="right"/>
              <w:rPr>
                <w:sz w:val="14"/>
              </w:rPr>
            </w:pPr>
            <w:r>
              <w:rPr>
                <w:sz w:val="14"/>
              </w:rPr>
              <w:t>199,53</w:t>
            </w:r>
          </w:p>
        </w:tc>
        <w:tc>
          <w:tcPr>
            <w:tcW w:w="939" w:type="dxa"/>
          </w:tcPr>
          <w:p>
            <w:pPr>
              <w:pStyle w:val="TableParagraph"/>
              <w:spacing w:line="152" w:lineRule="exact"/>
              <w:ind w:right="63"/>
              <w:jc w:val="right"/>
              <w:rPr>
                <w:sz w:val="14"/>
              </w:rPr>
            </w:pPr>
            <w:r>
              <w:rPr>
                <w:sz w:val="14"/>
              </w:rPr>
              <w:t>498,87</w:t>
            </w:r>
          </w:p>
        </w:tc>
        <w:tc>
          <w:tcPr>
            <w:tcW w:w="881" w:type="dxa"/>
          </w:tcPr>
          <w:p>
            <w:pPr>
              <w:pStyle w:val="TableParagraph"/>
              <w:spacing w:line="152" w:lineRule="exact"/>
              <w:ind w:right="64"/>
              <w:jc w:val="right"/>
              <w:rPr>
                <w:sz w:val="14"/>
              </w:rPr>
            </w:pPr>
            <w:r>
              <w:rPr>
                <w:w w:val="95"/>
                <w:sz w:val="14"/>
              </w:rPr>
              <w:t>1.496,39</w:t>
            </w:r>
          </w:p>
        </w:tc>
      </w:tr>
      <w:tr>
        <w:trPr>
          <w:trHeight w:val="179" w:hRule="atLeast"/>
        </w:trPr>
        <w:tc>
          <w:tcPr>
            <w:tcW w:w="919" w:type="dxa"/>
          </w:tcPr>
          <w:p>
            <w:pPr>
              <w:pStyle w:val="TableParagraph"/>
              <w:spacing w:before="0"/>
              <w:rPr>
                <w:rFonts w:ascii="Times New Roman"/>
                <w:sz w:val="12"/>
              </w:rPr>
            </w:pPr>
          </w:p>
        </w:tc>
        <w:tc>
          <w:tcPr>
            <w:tcW w:w="4441" w:type="dxa"/>
            <w:gridSpan w:val="3"/>
          </w:tcPr>
          <w:p>
            <w:pPr>
              <w:pStyle w:val="TableParagraph"/>
              <w:spacing w:line="152" w:lineRule="exact"/>
              <w:ind w:left="1339"/>
              <w:rPr>
                <w:b/>
                <w:sz w:val="14"/>
              </w:rPr>
            </w:pPr>
            <w:r>
              <w:rPr>
                <w:b/>
                <w:sz w:val="14"/>
              </w:rPr>
              <w:t>TOTAL OTRAS INSTALACIONES</w:t>
            </w:r>
          </w:p>
        </w:tc>
        <w:tc>
          <w:tcPr>
            <w:tcW w:w="862" w:type="dxa"/>
          </w:tcPr>
          <w:p>
            <w:pPr>
              <w:pStyle w:val="TableParagraph"/>
              <w:spacing w:line="152" w:lineRule="exact"/>
              <w:ind w:right="62"/>
              <w:jc w:val="right"/>
              <w:rPr>
                <w:b/>
                <w:sz w:val="14"/>
              </w:rPr>
            </w:pPr>
            <w:r>
              <w:rPr>
                <w:b/>
                <w:w w:val="95"/>
                <w:sz w:val="14"/>
              </w:rPr>
              <w:t>14.721,99</w:t>
            </w:r>
          </w:p>
        </w:tc>
        <w:tc>
          <w:tcPr>
            <w:tcW w:w="1006" w:type="dxa"/>
          </w:tcPr>
          <w:p>
            <w:pPr>
              <w:pStyle w:val="TableParagraph"/>
              <w:spacing w:line="152" w:lineRule="exact"/>
              <w:ind w:right="63"/>
              <w:jc w:val="right"/>
              <w:rPr>
                <w:b/>
                <w:sz w:val="14"/>
              </w:rPr>
            </w:pPr>
            <w:r>
              <w:rPr>
                <w:b/>
                <w:w w:val="95"/>
                <w:sz w:val="14"/>
              </w:rPr>
              <w:t>1.326,60</w:t>
            </w:r>
          </w:p>
        </w:tc>
        <w:tc>
          <w:tcPr>
            <w:tcW w:w="939" w:type="dxa"/>
          </w:tcPr>
          <w:p>
            <w:pPr>
              <w:pStyle w:val="TableParagraph"/>
              <w:spacing w:line="152" w:lineRule="exact"/>
              <w:ind w:right="63"/>
              <w:jc w:val="right"/>
              <w:rPr>
                <w:b/>
                <w:sz w:val="14"/>
              </w:rPr>
            </w:pPr>
            <w:r>
              <w:rPr>
                <w:b/>
                <w:w w:val="95"/>
                <w:sz w:val="14"/>
              </w:rPr>
              <w:t>6.008,70</w:t>
            </w:r>
          </w:p>
        </w:tc>
        <w:tc>
          <w:tcPr>
            <w:tcW w:w="881" w:type="dxa"/>
          </w:tcPr>
          <w:p>
            <w:pPr>
              <w:pStyle w:val="TableParagraph"/>
              <w:spacing w:line="152" w:lineRule="exact"/>
              <w:ind w:right="64"/>
              <w:jc w:val="right"/>
              <w:rPr>
                <w:b/>
                <w:sz w:val="14"/>
              </w:rPr>
            </w:pPr>
            <w:r>
              <w:rPr>
                <w:b/>
                <w:w w:val="95"/>
                <w:sz w:val="14"/>
              </w:rPr>
              <w:t>8.713,29</w:t>
            </w:r>
          </w:p>
        </w:tc>
      </w:tr>
      <w:tr>
        <w:trPr>
          <w:trHeight w:val="182" w:hRule="atLeast"/>
        </w:trPr>
        <w:tc>
          <w:tcPr>
            <w:tcW w:w="919" w:type="dxa"/>
          </w:tcPr>
          <w:p>
            <w:pPr>
              <w:pStyle w:val="TableParagraph"/>
              <w:spacing w:line="154" w:lineRule="exact"/>
              <w:ind w:right="59"/>
              <w:jc w:val="right"/>
              <w:rPr>
                <w:sz w:val="14"/>
              </w:rPr>
            </w:pPr>
            <w:r>
              <w:rPr>
                <w:w w:val="95"/>
                <w:sz w:val="14"/>
              </w:rPr>
              <w:t>21600001</w:t>
            </w:r>
          </w:p>
        </w:tc>
        <w:tc>
          <w:tcPr>
            <w:tcW w:w="2861" w:type="dxa"/>
          </w:tcPr>
          <w:p>
            <w:pPr>
              <w:pStyle w:val="TableParagraph"/>
              <w:spacing w:line="154" w:lineRule="exact"/>
              <w:ind w:left="69"/>
              <w:rPr>
                <w:sz w:val="14"/>
              </w:rPr>
            </w:pPr>
            <w:r>
              <w:rPr>
                <w:sz w:val="14"/>
              </w:rPr>
              <w:t>25 SILLA PATA NEGRA OFISSAN</w:t>
            </w:r>
          </w:p>
        </w:tc>
        <w:tc>
          <w:tcPr>
            <w:tcW w:w="1001" w:type="dxa"/>
          </w:tcPr>
          <w:p>
            <w:pPr>
              <w:pStyle w:val="TableParagraph"/>
              <w:spacing w:line="154" w:lineRule="exact"/>
              <w:ind w:right="61"/>
              <w:jc w:val="right"/>
              <w:rPr>
                <w:sz w:val="14"/>
              </w:rPr>
            </w:pPr>
            <w:r>
              <w:rPr>
                <w:w w:val="95"/>
                <w:sz w:val="14"/>
              </w:rPr>
              <w:t>04/03/2015</w:t>
            </w:r>
          </w:p>
        </w:tc>
        <w:tc>
          <w:tcPr>
            <w:tcW w:w="579" w:type="dxa"/>
          </w:tcPr>
          <w:p>
            <w:pPr>
              <w:pStyle w:val="TableParagraph"/>
              <w:spacing w:line="154" w:lineRule="exact"/>
              <w:ind w:right="60"/>
              <w:jc w:val="right"/>
              <w:rPr>
                <w:sz w:val="14"/>
              </w:rPr>
            </w:pPr>
            <w:r>
              <w:rPr>
                <w:w w:val="95"/>
                <w:sz w:val="14"/>
              </w:rPr>
              <w:t>10,00</w:t>
            </w:r>
          </w:p>
        </w:tc>
        <w:tc>
          <w:tcPr>
            <w:tcW w:w="862" w:type="dxa"/>
          </w:tcPr>
          <w:p>
            <w:pPr>
              <w:pStyle w:val="TableParagraph"/>
              <w:spacing w:line="154" w:lineRule="exact"/>
              <w:ind w:right="62"/>
              <w:jc w:val="right"/>
              <w:rPr>
                <w:sz w:val="14"/>
              </w:rPr>
            </w:pPr>
            <w:r>
              <w:rPr>
                <w:w w:val="95"/>
                <w:sz w:val="14"/>
              </w:rPr>
              <w:t>1.975,00</w:t>
            </w:r>
          </w:p>
        </w:tc>
        <w:tc>
          <w:tcPr>
            <w:tcW w:w="1006" w:type="dxa"/>
          </w:tcPr>
          <w:p>
            <w:pPr>
              <w:pStyle w:val="TableParagraph"/>
              <w:spacing w:line="154" w:lineRule="exact"/>
              <w:ind w:right="63"/>
              <w:jc w:val="right"/>
              <w:rPr>
                <w:sz w:val="14"/>
              </w:rPr>
            </w:pPr>
            <w:r>
              <w:rPr>
                <w:sz w:val="14"/>
              </w:rPr>
              <w:t>197,50</w:t>
            </w:r>
          </w:p>
        </w:tc>
        <w:tc>
          <w:tcPr>
            <w:tcW w:w="939" w:type="dxa"/>
          </w:tcPr>
          <w:p>
            <w:pPr>
              <w:pStyle w:val="TableParagraph"/>
              <w:spacing w:line="154" w:lineRule="exact"/>
              <w:ind w:right="63"/>
              <w:jc w:val="right"/>
              <w:rPr>
                <w:sz w:val="14"/>
              </w:rPr>
            </w:pPr>
            <w:r>
              <w:rPr>
                <w:w w:val="95"/>
                <w:sz w:val="14"/>
              </w:rPr>
              <w:t>1.942,26</w:t>
            </w:r>
          </w:p>
        </w:tc>
        <w:tc>
          <w:tcPr>
            <w:tcW w:w="881" w:type="dxa"/>
          </w:tcPr>
          <w:p>
            <w:pPr>
              <w:pStyle w:val="TableParagraph"/>
              <w:spacing w:line="154" w:lineRule="exact"/>
              <w:ind w:right="64"/>
              <w:jc w:val="right"/>
              <w:rPr>
                <w:sz w:val="14"/>
              </w:rPr>
            </w:pPr>
            <w:r>
              <w:rPr>
                <w:w w:val="95"/>
                <w:sz w:val="14"/>
              </w:rPr>
              <w:t>32,74</w:t>
            </w:r>
          </w:p>
        </w:tc>
      </w:tr>
      <w:tr>
        <w:trPr>
          <w:trHeight w:val="179" w:hRule="atLeast"/>
        </w:trPr>
        <w:tc>
          <w:tcPr>
            <w:tcW w:w="919" w:type="dxa"/>
          </w:tcPr>
          <w:p>
            <w:pPr>
              <w:pStyle w:val="TableParagraph"/>
              <w:spacing w:line="152" w:lineRule="exact"/>
              <w:ind w:right="59"/>
              <w:jc w:val="right"/>
              <w:rPr>
                <w:sz w:val="14"/>
              </w:rPr>
            </w:pPr>
            <w:r>
              <w:rPr>
                <w:w w:val="95"/>
                <w:sz w:val="14"/>
              </w:rPr>
              <w:t>21600002</w:t>
            </w:r>
          </w:p>
        </w:tc>
        <w:tc>
          <w:tcPr>
            <w:tcW w:w="2861" w:type="dxa"/>
          </w:tcPr>
          <w:p>
            <w:pPr>
              <w:pStyle w:val="TableParagraph"/>
              <w:spacing w:line="152" w:lineRule="exact"/>
              <w:ind w:left="69"/>
              <w:rPr>
                <w:sz w:val="14"/>
              </w:rPr>
            </w:pPr>
            <w:r>
              <w:rPr>
                <w:sz w:val="14"/>
              </w:rPr>
              <w:t>BANQUETA REGULABLE EN ALTURA</w:t>
            </w:r>
          </w:p>
        </w:tc>
        <w:tc>
          <w:tcPr>
            <w:tcW w:w="1001" w:type="dxa"/>
          </w:tcPr>
          <w:p>
            <w:pPr>
              <w:pStyle w:val="TableParagraph"/>
              <w:spacing w:line="152" w:lineRule="exact"/>
              <w:ind w:right="61"/>
              <w:jc w:val="right"/>
              <w:rPr>
                <w:sz w:val="14"/>
              </w:rPr>
            </w:pPr>
            <w:r>
              <w:rPr>
                <w:w w:val="95"/>
                <w:sz w:val="14"/>
              </w:rPr>
              <w:t>29/01/2016</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90,00</w:t>
            </w:r>
          </w:p>
        </w:tc>
        <w:tc>
          <w:tcPr>
            <w:tcW w:w="1006" w:type="dxa"/>
          </w:tcPr>
          <w:p>
            <w:pPr>
              <w:pStyle w:val="TableParagraph"/>
              <w:spacing w:line="152" w:lineRule="exact"/>
              <w:ind w:right="63"/>
              <w:jc w:val="right"/>
              <w:rPr>
                <w:sz w:val="14"/>
              </w:rPr>
            </w:pPr>
            <w:r>
              <w:rPr>
                <w:sz w:val="14"/>
              </w:rPr>
              <w:t>9,00</w:t>
            </w:r>
          </w:p>
        </w:tc>
        <w:tc>
          <w:tcPr>
            <w:tcW w:w="939" w:type="dxa"/>
          </w:tcPr>
          <w:p>
            <w:pPr>
              <w:pStyle w:val="TableParagraph"/>
              <w:spacing w:line="152" w:lineRule="exact"/>
              <w:ind w:right="63"/>
              <w:jc w:val="right"/>
              <w:rPr>
                <w:sz w:val="14"/>
              </w:rPr>
            </w:pPr>
            <w:r>
              <w:rPr>
                <w:w w:val="95"/>
                <w:sz w:val="14"/>
              </w:rPr>
              <w:t>80,25</w:t>
            </w:r>
          </w:p>
        </w:tc>
        <w:tc>
          <w:tcPr>
            <w:tcW w:w="881" w:type="dxa"/>
          </w:tcPr>
          <w:p>
            <w:pPr>
              <w:pStyle w:val="TableParagraph"/>
              <w:spacing w:line="152" w:lineRule="exact"/>
              <w:ind w:right="64"/>
              <w:jc w:val="right"/>
              <w:rPr>
                <w:sz w:val="14"/>
              </w:rPr>
            </w:pPr>
            <w:r>
              <w:rPr>
                <w:sz w:val="14"/>
              </w:rPr>
              <w:t>9,75</w:t>
            </w:r>
          </w:p>
        </w:tc>
      </w:tr>
      <w:tr>
        <w:trPr>
          <w:trHeight w:val="179" w:hRule="atLeast"/>
        </w:trPr>
        <w:tc>
          <w:tcPr>
            <w:tcW w:w="919" w:type="dxa"/>
          </w:tcPr>
          <w:p>
            <w:pPr>
              <w:pStyle w:val="TableParagraph"/>
              <w:spacing w:line="152" w:lineRule="exact"/>
              <w:ind w:right="59"/>
              <w:jc w:val="right"/>
              <w:rPr>
                <w:sz w:val="14"/>
              </w:rPr>
            </w:pPr>
            <w:r>
              <w:rPr>
                <w:w w:val="95"/>
                <w:sz w:val="14"/>
              </w:rPr>
              <w:t>21600003</w:t>
            </w:r>
          </w:p>
        </w:tc>
        <w:tc>
          <w:tcPr>
            <w:tcW w:w="2861" w:type="dxa"/>
          </w:tcPr>
          <w:p>
            <w:pPr>
              <w:pStyle w:val="TableParagraph"/>
              <w:spacing w:line="152" w:lineRule="exact"/>
              <w:ind w:left="69"/>
              <w:rPr>
                <w:sz w:val="14"/>
              </w:rPr>
            </w:pPr>
            <w:r>
              <w:rPr>
                <w:sz w:val="14"/>
              </w:rPr>
              <w:t>SILLA OFICINA LOOK SIMIL PIEL</w:t>
            </w:r>
          </w:p>
        </w:tc>
        <w:tc>
          <w:tcPr>
            <w:tcW w:w="1001" w:type="dxa"/>
          </w:tcPr>
          <w:p>
            <w:pPr>
              <w:pStyle w:val="TableParagraph"/>
              <w:spacing w:line="152" w:lineRule="exact"/>
              <w:ind w:right="61"/>
              <w:jc w:val="right"/>
              <w:rPr>
                <w:sz w:val="14"/>
              </w:rPr>
            </w:pPr>
            <w:r>
              <w:rPr>
                <w:w w:val="95"/>
                <w:sz w:val="14"/>
              </w:rPr>
              <w:t>14/12/2018</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95,00</w:t>
            </w:r>
          </w:p>
        </w:tc>
        <w:tc>
          <w:tcPr>
            <w:tcW w:w="1006" w:type="dxa"/>
          </w:tcPr>
          <w:p>
            <w:pPr>
              <w:pStyle w:val="TableParagraph"/>
              <w:spacing w:line="152" w:lineRule="exact"/>
              <w:ind w:right="63"/>
              <w:jc w:val="right"/>
              <w:rPr>
                <w:sz w:val="14"/>
              </w:rPr>
            </w:pPr>
            <w:r>
              <w:rPr>
                <w:sz w:val="14"/>
              </w:rPr>
              <w:t>9,50</w:t>
            </w:r>
          </w:p>
        </w:tc>
        <w:tc>
          <w:tcPr>
            <w:tcW w:w="939" w:type="dxa"/>
          </w:tcPr>
          <w:p>
            <w:pPr>
              <w:pStyle w:val="TableParagraph"/>
              <w:spacing w:line="152" w:lineRule="exact"/>
              <w:ind w:right="63"/>
              <w:jc w:val="right"/>
              <w:rPr>
                <w:sz w:val="14"/>
              </w:rPr>
            </w:pPr>
            <w:r>
              <w:rPr>
                <w:w w:val="95"/>
                <w:sz w:val="14"/>
              </w:rPr>
              <w:t>57,69</w:t>
            </w:r>
          </w:p>
        </w:tc>
        <w:tc>
          <w:tcPr>
            <w:tcW w:w="881" w:type="dxa"/>
          </w:tcPr>
          <w:p>
            <w:pPr>
              <w:pStyle w:val="TableParagraph"/>
              <w:spacing w:line="152" w:lineRule="exact"/>
              <w:ind w:right="64"/>
              <w:jc w:val="right"/>
              <w:rPr>
                <w:sz w:val="14"/>
              </w:rPr>
            </w:pPr>
            <w:r>
              <w:rPr>
                <w:w w:val="95"/>
                <w:sz w:val="14"/>
              </w:rPr>
              <w:t>37,31</w:t>
            </w:r>
          </w:p>
        </w:tc>
      </w:tr>
      <w:tr>
        <w:trPr>
          <w:trHeight w:val="179" w:hRule="atLeast"/>
        </w:trPr>
        <w:tc>
          <w:tcPr>
            <w:tcW w:w="919" w:type="dxa"/>
          </w:tcPr>
          <w:p>
            <w:pPr>
              <w:pStyle w:val="TableParagraph"/>
              <w:spacing w:line="152" w:lineRule="exact"/>
              <w:ind w:right="59"/>
              <w:jc w:val="right"/>
              <w:rPr>
                <w:sz w:val="14"/>
              </w:rPr>
            </w:pPr>
            <w:r>
              <w:rPr>
                <w:w w:val="95"/>
                <w:sz w:val="14"/>
              </w:rPr>
              <w:t>21600004</w:t>
            </w:r>
          </w:p>
        </w:tc>
        <w:tc>
          <w:tcPr>
            <w:tcW w:w="2861" w:type="dxa"/>
          </w:tcPr>
          <w:p>
            <w:pPr>
              <w:pStyle w:val="TableParagraph"/>
              <w:spacing w:line="152" w:lineRule="exact"/>
              <w:ind w:left="69"/>
              <w:rPr>
                <w:sz w:val="14"/>
              </w:rPr>
            </w:pPr>
            <w:r>
              <w:rPr>
                <w:sz w:val="14"/>
              </w:rPr>
              <w:t>PERCHERO FORJA GRIS</w:t>
            </w:r>
          </w:p>
        </w:tc>
        <w:tc>
          <w:tcPr>
            <w:tcW w:w="1001" w:type="dxa"/>
          </w:tcPr>
          <w:p>
            <w:pPr>
              <w:pStyle w:val="TableParagraph"/>
              <w:spacing w:line="152" w:lineRule="exact"/>
              <w:ind w:right="61"/>
              <w:jc w:val="right"/>
              <w:rPr>
                <w:sz w:val="14"/>
              </w:rPr>
            </w:pPr>
            <w:r>
              <w:rPr>
                <w:w w:val="95"/>
                <w:sz w:val="14"/>
              </w:rPr>
              <w:t>14/12/2018</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72,00</w:t>
            </w:r>
          </w:p>
        </w:tc>
        <w:tc>
          <w:tcPr>
            <w:tcW w:w="1006" w:type="dxa"/>
          </w:tcPr>
          <w:p>
            <w:pPr>
              <w:pStyle w:val="TableParagraph"/>
              <w:spacing w:line="152" w:lineRule="exact"/>
              <w:ind w:right="63"/>
              <w:jc w:val="right"/>
              <w:rPr>
                <w:sz w:val="14"/>
              </w:rPr>
            </w:pPr>
            <w:r>
              <w:rPr>
                <w:sz w:val="14"/>
              </w:rPr>
              <w:t>7,20</w:t>
            </w:r>
          </w:p>
        </w:tc>
        <w:tc>
          <w:tcPr>
            <w:tcW w:w="939" w:type="dxa"/>
          </w:tcPr>
          <w:p>
            <w:pPr>
              <w:pStyle w:val="TableParagraph"/>
              <w:spacing w:line="152" w:lineRule="exact"/>
              <w:ind w:right="63"/>
              <w:jc w:val="right"/>
              <w:rPr>
                <w:sz w:val="14"/>
              </w:rPr>
            </w:pPr>
            <w:r>
              <w:rPr>
                <w:w w:val="95"/>
                <w:sz w:val="14"/>
              </w:rPr>
              <w:t>43,80</w:t>
            </w:r>
          </w:p>
        </w:tc>
        <w:tc>
          <w:tcPr>
            <w:tcW w:w="881" w:type="dxa"/>
          </w:tcPr>
          <w:p>
            <w:pPr>
              <w:pStyle w:val="TableParagraph"/>
              <w:spacing w:line="152" w:lineRule="exact"/>
              <w:ind w:right="64"/>
              <w:jc w:val="right"/>
              <w:rPr>
                <w:sz w:val="14"/>
              </w:rPr>
            </w:pPr>
            <w:r>
              <w:rPr>
                <w:w w:val="95"/>
                <w:sz w:val="14"/>
              </w:rPr>
              <w:t>28,20</w:t>
            </w:r>
          </w:p>
        </w:tc>
      </w:tr>
      <w:tr>
        <w:trPr>
          <w:trHeight w:val="179" w:hRule="atLeast"/>
        </w:trPr>
        <w:tc>
          <w:tcPr>
            <w:tcW w:w="919" w:type="dxa"/>
          </w:tcPr>
          <w:p>
            <w:pPr>
              <w:pStyle w:val="TableParagraph"/>
              <w:spacing w:line="152" w:lineRule="exact"/>
              <w:ind w:right="59"/>
              <w:jc w:val="right"/>
              <w:rPr>
                <w:sz w:val="14"/>
              </w:rPr>
            </w:pPr>
            <w:r>
              <w:rPr>
                <w:w w:val="95"/>
                <w:sz w:val="14"/>
              </w:rPr>
              <w:t>21600005</w:t>
            </w:r>
          </w:p>
        </w:tc>
        <w:tc>
          <w:tcPr>
            <w:tcW w:w="2861" w:type="dxa"/>
          </w:tcPr>
          <w:p>
            <w:pPr>
              <w:pStyle w:val="TableParagraph"/>
              <w:spacing w:line="152" w:lineRule="exact"/>
              <w:ind w:left="69"/>
              <w:rPr>
                <w:sz w:val="14"/>
              </w:rPr>
            </w:pPr>
            <w:r>
              <w:rPr>
                <w:sz w:val="14"/>
              </w:rPr>
              <w:t>ARMARIO 2 PTAS OFICINA 185*100</w:t>
            </w:r>
          </w:p>
        </w:tc>
        <w:tc>
          <w:tcPr>
            <w:tcW w:w="1001" w:type="dxa"/>
          </w:tcPr>
          <w:p>
            <w:pPr>
              <w:pStyle w:val="TableParagraph"/>
              <w:spacing w:line="152" w:lineRule="exact"/>
              <w:ind w:right="61"/>
              <w:jc w:val="right"/>
              <w:rPr>
                <w:sz w:val="14"/>
              </w:rPr>
            </w:pPr>
            <w:r>
              <w:rPr>
                <w:w w:val="95"/>
                <w:sz w:val="14"/>
              </w:rPr>
              <w:t>14/12/2018</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sz w:val="14"/>
              </w:rPr>
              <w:t>360,00</w:t>
            </w:r>
          </w:p>
        </w:tc>
        <w:tc>
          <w:tcPr>
            <w:tcW w:w="1006" w:type="dxa"/>
          </w:tcPr>
          <w:p>
            <w:pPr>
              <w:pStyle w:val="TableParagraph"/>
              <w:spacing w:line="152" w:lineRule="exact"/>
              <w:ind w:right="63"/>
              <w:jc w:val="right"/>
              <w:rPr>
                <w:sz w:val="14"/>
              </w:rPr>
            </w:pPr>
            <w:r>
              <w:rPr>
                <w:w w:val="95"/>
                <w:sz w:val="14"/>
              </w:rPr>
              <w:t>36,00</w:t>
            </w:r>
          </w:p>
        </w:tc>
        <w:tc>
          <w:tcPr>
            <w:tcW w:w="939" w:type="dxa"/>
          </w:tcPr>
          <w:p>
            <w:pPr>
              <w:pStyle w:val="TableParagraph"/>
              <w:spacing w:line="152" w:lineRule="exact"/>
              <w:ind w:right="63"/>
              <w:jc w:val="right"/>
              <w:rPr>
                <w:sz w:val="14"/>
              </w:rPr>
            </w:pPr>
            <w:r>
              <w:rPr>
                <w:sz w:val="14"/>
              </w:rPr>
              <w:t>219,00</w:t>
            </w:r>
          </w:p>
        </w:tc>
        <w:tc>
          <w:tcPr>
            <w:tcW w:w="881" w:type="dxa"/>
          </w:tcPr>
          <w:p>
            <w:pPr>
              <w:pStyle w:val="TableParagraph"/>
              <w:spacing w:line="152" w:lineRule="exact"/>
              <w:ind w:right="64"/>
              <w:jc w:val="right"/>
              <w:rPr>
                <w:sz w:val="14"/>
              </w:rPr>
            </w:pPr>
            <w:r>
              <w:rPr>
                <w:sz w:val="14"/>
              </w:rPr>
              <w:t>141,00</w:t>
            </w:r>
          </w:p>
        </w:tc>
      </w:tr>
    </w:tbl>
    <w:p>
      <w:pPr>
        <w:spacing w:after="0" w:line="152" w:lineRule="exact"/>
        <w:jc w:val="right"/>
        <w:rPr>
          <w:sz w:val="14"/>
        </w:rPr>
        <w:sectPr>
          <w:pgSz w:w="11900" w:h="16840"/>
          <w:pgMar w:header="739" w:footer="767" w:top="1600" w:bottom="960" w:left="1580" w:right="660"/>
        </w:sectPr>
      </w:pPr>
    </w:p>
    <w:p>
      <w:pPr>
        <w:pStyle w:val="BodyText"/>
        <w:spacing w:after="1"/>
        <w:rPr>
          <w:b/>
          <w:sz w:val="23"/>
        </w:rPr>
      </w:pPr>
    </w:p>
    <w:tbl>
      <w:tblPr>
        <w:tblW w:w="0" w:type="auto"/>
        <w:jc w:val="left"/>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2861"/>
        <w:gridCol w:w="1001"/>
        <w:gridCol w:w="579"/>
        <w:gridCol w:w="862"/>
        <w:gridCol w:w="1006"/>
        <w:gridCol w:w="939"/>
        <w:gridCol w:w="881"/>
      </w:tblGrid>
      <w:tr>
        <w:trPr>
          <w:trHeight w:val="179" w:hRule="atLeast"/>
        </w:trPr>
        <w:tc>
          <w:tcPr>
            <w:tcW w:w="919" w:type="dxa"/>
          </w:tcPr>
          <w:p>
            <w:pPr>
              <w:pStyle w:val="TableParagraph"/>
              <w:spacing w:line="151" w:lineRule="exact"/>
              <w:ind w:right="59"/>
              <w:jc w:val="right"/>
              <w:rPr>
                <w:sz w:val="14"/>
              </w:rPr>
            </w:pPr>
            <w:r>
              <w:rPr>
                <w:w w:val="95"/>
                <w:sz w:val="14"/>
              </w:rPr>
              <w:t>21600006</w:t>
            </w:r>
          </w:p>
        </w:tc>
        <w:tc>
          <w:tcPr>
            <w:tcW w:w="2861" w:type="dxa"/>
          </w:tcPr>
          <w:p>
            <w:pPr>
              <w:pStyle w:val="TableParagraph"/>
              <w:spacing w:line="151" w:lineRule="exact"/>
              <w:ind w:left="69"/>
              <w:rPr>
                <w:sz w:val="14"/>
              </w:rPr>
            </w:pPr>
            <w:r>
              <w:rPr>
                <w:sz w:val="14"/>
              </w:rPr>
              <w:t>2 ARMARIO 2 PTAS 150*100</w:t>
            </w:r>
          </w:p>
        </w:tc>
        <w:tc>
          <w:tcPr>
            <w:tcW w:w="1001" w:type="dxa"/>
          </w:tcPr>
          <w:p>
            <w:pPr>
              <w:pStyle w:val="TableParagraph"/>
              <w:spacing w:line="151" w:lineRule="exact"/>
              <w:ind w:right="61"/>
              <w:jc w:val="right"/>
              <w:rPr>
                <w:sz w:val="14"/>
              </w:rPr>
            </w:pPr>
            <w:r>
              <w:rPr>
                <w:w w:val="95"/>
                <w:sz w:val="14"/>
              </w:rPr>
              <w:t>14/12/2018</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598,00</w:t>
            </w:r>
          </w:p>
        </w:tc>
        <w:tc>
          <w:tcPr>
            <w:tcW w:w="1006" w:type="dxa"/>
          </w:tcPr>
          <w:p>
            <w:pPr>
              <w:pStyle w:val="TableParagraph"/>
              <w:spacing w:line="151" w:lineRule="exact"/>
              <w:ind w:right="63"/>
              <w:jc w:val="right"/>
              <w:rPr>
                <w:sz w:val="14"/>
              </w:rPr>
            </w:pPr>
            <w:r>
              <w:rPr>
                <w:w w:val="95"/>
                <w:sz w:val="14"/>
              </w:rPr>
              <w:t>59,80</w:t>
            </w:r>
          </w:p>
        </w:tc>
        <w:tc>
          <w:tcPr>
            <w:tcW w:w="939" w:type="dxa"/>
          </w:tcPr>
          <w:p>
            <w:pPr>
              <w:pStyle w:val="TableParagraph"/>
              <w:spacing w:line="151" w:lineRule="exact"/>
              <w:ind w:right="63"/>
              <w:jc w:val="right"/>
              <w:rPr>
                <w:sz w:val="14"/>
              </w:rPr>
            </w:pPr>
            <w:r>
              <w:rPr>
                <w:sz w:val="14"/>
              </w:rPr>
              <w:t>363,58</w:t>
            </w:r>
          </w:p>
        </w:tc>
        <w:tc>
          <w:tcPr>
            <w:tcW w:w="881" w:type="dxa"/>
          </w:tcPr>
          <w:p>
            <w:pPr>
              <w:pStyle w:val="TableParagraph"/>
              <w:spacing w:line="151" w:lineRule="exact"/>
              <w:ind w:right="64"/>
              <w:jc w:val="right"/>
              <w:rPr>
                <w:sz w:val="14"/>
              </w:rPr>
            </w:pPr>
            <w:r>
              <w:rPr>
                <w:sz w:val="14"/>
              </w:rPr>
              <w:t>234,42</w:t>
            </w:r>
          </w:p>
        </w:tc>
      </w:tr>
      <w:tr>
        <w:trPr>
          <w:trHeight w:val="179" w:hRule="atLeast"/>
        </w:trPr>
        <w:tc>
          <w:tcPr>
            <w:tcW w:w="919" w:type="dxa"/>
          </w:tcPr>
          <w:p>
            <w:pPr>
              <w:pStyle w:val="TableParagraph"/>
              <w:spacing w:line="152" w:lineRule="exact"/>
              <w:ind w:right="59"/>
              <w:jc w:val="right"/>
              <w:rPr>
                <w:sz w:val="14"/>
              </w:rPr>
            </w:pPr>
            <w:r>
              <w:rPr>
                <w:w w:val="95"/>
                <w:sz w:val="14"/>
              </w:rPr>
              <w:t>21600007</w:t>
            </w:r>
          </w:p>
        </w:tc>
        <w:tc>
          <w:tcPr>
            <w:tcW w:w="2861" w:type="dxa"/>
          </w:tcPr>
          <w:p>
            <w:pPr>
              <w:pStyle w:val="TableParagraph"/>
              <w:spacing w:line="152" w:lineRule="exact"/>
              <w:ind w:left="69"/>
              <w:rPr>
                <w:sz w:val="14"/>
              </w:rPr>
            </w:pPr>
            <w:r>
              <w:rPr>
                <w:sz w:val="14"/>
              </w:rPr>
              <w:t>MODULO CUBIC CORREDERA 127*160</w:t>
            </w:r>
          </w:p>
        </w:tc>
        <w:tc>
          <w:tcPr>
            <w:tcW w:w="1001" w:type="dxa"/>
          </w:tcPr>
          <w:p>
            <w:pPr>
              <w:pStyle w:val="TableParagraph"/>
              <w:spacing w:line="152" w:lineRule="exact"/>
              <w:ind w:right="61"/>
              <w:jc w:val="right"/>
              <w:rPr>
                <w:sz w:val="14"/>
              </w:rPr>
            </w:pPr>
            <w:r>
              <w:rPr>
                <w:w w:val="95"/>
                <w:sz w:val="14"/>
              </w:rPr>
              <w:t>14/12/2018</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sz w:val="14"/>
              </w:rPr>
              <w:t>530,00</w:t>
            </w:r>
          </w:p>
        </w:tc>
        <w:tc>
          <w:tcPr>
            <w:tcW w:w="1006" w:type="dxa"/>
          </w:tcPr>
          <w:p>
            <w:pPr>
              <w:pStyle w:val="TableParagraph"/>
              <w:spacing w:line="152" w:lineRule="exact"/>
              <w:ind w:right="63"/>
              <w:jc w:val="right"/>
              <w:rPr>
                <w:sz w:val="14"/>
              </w:rPr>
            </w:pPr>
            <w:r>
              <w:rPr>
                <w:w w:val="95"/>
                <w:sz w:val="14"/>
              </w:rPr>
              <w:t>53,00</w:t>
            </w:r>
          </w:p>
        </w:tc>
        <w:tc>
          <w:tcPr>
            <w:tcW w:w="939" w:type="dxa"/>
          </w:tcPr>
          <w:p>
            <w:pPr>
              <w:pStyle w:val="TableParagraph"/>
              <w:spacing w:line="152" w:lineRule="exact"/>
              <w:ind w:right="63"/>
              <w:jc w:val="right"/>
              <w:rPr>
                <w:sz w:val="14"/>
              </w:rPr>
            </w:pPr>
            <w:r>
              <w:rPr>
                <w:sz w:val="14"/>
              </w:rPr>
              <w:t>322,62</w:t>
            </w:r>
          </w:p>
        </w:tc>
        <w:tc>
          <w:tcPr>
            <w:tcW w:w="881" w:type="dxa"/>
          </w:tcPr>
          <w:p>
            <w:pPr>
              <w:pStyle w:val="TableParagraph"/>
              <w:spacing w:line="152" w:lineRule="exact"/>
              <w:ind w:right="64"/>
              <w:jc w:val="right"/>
              <w:rPr>
                <w:sz w:val="14"/>
              </w:rPr>
            </w:pPr>
            <w:r>
              <w:rPr>
                <w:sz w:val="14"/>
              </w:rPr>
              <w:t>207,38</w:t>
            </w:r>
          </w:p>
        </w:tc>
      </w:tr>
      <w:tr>
        <w:trPr>
          <w:trHeight w:val="179" w:hRule="atLeast"/>
        </w:trPr>
        <w:tc>
          <w:tcPr>
            <w:tcW w:w="919" w:type="dxa"/>
          </w:tcPr>
          <w:p>
            <w:pPr>
              <w:pStyle w:val="TableParagraph"/>
              <w:spacing w:line="151" w:lineRule="exact"/>
              <w:ind w:right="59"/>
              <w:jc w:val="right"/>
              <w:rPr>
                <w:sz w:val="14"/>
              </w:rPr>
            </w:pPr>
            <w:r>
              <w:rPr>
                <w:w w:val="95"/>
                <w:sz w:val="14"/>
              </w:rPr>
              <w:t>21600008</w:t>
            </w:r>
          </w:p>
        </w:tc>
        <w:tc>
          <w:tcPr>
            <w:tcW w:w="2861" w:type="dxa"/>
          </w:tcPr>
          <w:p>
            <w:pPr>
              <w:pStyle w:val="TableParagraph"/>
              <w:spacing w:line="151" w:lineRule="exact"/>
              <w:ind w:left="69"/>
              <w:rPr>
                <w:sz w:val="14"/>
              </w:rPr>
            </w:pPr>
            <w:r>
              <w:rPr>
                <w:sz w:val="14"/>
              </w:rPr>
              <w:t>20 SILLAS PATA NEGRA ALM ALVAR</w:t>
            </w:r>
          </w:p>
        </w:tc>
        <w:tc>
          <w:tcPr>
            <w:tcW w:w="1001" w:type="dxa"/>
          </w:tcPr>
          <w:p>
            <w:pPr>
              <w:pStyle w:val="TableParagraph"/>
              <w:spacing w:line="151" w:lineRule="exact"/>
              <w:ind w:right="61"/>
              <w:jc w:val="right"/>
              <w:rPr>
                <w:sz w:val="14"/>
              </w:rPr>
            </w:pPr>
            <w:r>
              <w:rPr>
                <w:w w:val="95"/>
                <w:sz w:val="14"/>
              </w:rPr>
              <w:t>04/02/2019</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w w:val="95"/>
                <w:sz w:val="14"/>
              </w:rPr>
              <w:t>1.700,00</w:t>
            </w:r>
          </w:p>
        </w:tc>
        <w:tc>
          <w:tcPr>
            <w:tcW w:w="1006" w:type="dxa"/>
          </w:tcPr>
          <w:p>
            <w:pPr>
              <w:pStyle w:val="TableParagraph"/>
              <w:spacing w:line="151" w:lineRule="exact"/>
              <w:ind w:right="63"/>
              <w:jc w:val="right"/>
              <w:rPr>
                <w:sz w:val="14"/>
              </w:rPr>
            </w:pPr>
            <w:r>
              <w:rPr>
                <w:sz w:val="14"/>
              </w:rPr>
              <w:t>170,00</w:t>
            </w:r>
          </w:p>
        </w:tc>
        <w:tc>
          <w:tcPr>
            <w:tcW w:w="939" w:type="dxa"/>
          </w:tcPr>
          <w:p>
            <w:pPr>
              <w:pStyle w:val="TableParagraph"/>
              <w:spacing w:line="151" w:lineRule="exact"/>
              <w:ind w:right="63"/>
              <w:jc w:val="right"/>
              <w:rPr>
                <w:sz w:val="14"/>
              </w:rPr>
            </w:pPr>
            <w:r>
              <w:rPr>
                <w:w w:val="95"/>
                <w:sz w:val="14"/>
              </w:rPr>
              <w:t>1.006,03</w:t>
            </w:r>
          </w:p>
        </w:tc>
        <w:tc>
          <w:tcPr>
            <w:tcW w:w="881" w:type="dxa"/>
          </w:tcPr>
          <w:p>
            <w:pPr>
              <w:pStyle w:val="TableParagraph"/>
              <w:spacing w:line="151" w:lineRule="exact"/>
              <w:ind w:right="64"/>
              <w:jc w:val="right"/>
              <w:rPr>
                <w:sz w:val="14"/>
              </w:rPr>
            </w:pPr>
            <w:r>
              <w:rPr>
                <w:sz w:val="14"/>
              </w:rPr>
              <w:t>693,97</w:t>
            </w:r>
          </w:p>
        </w:tc>
      </w:tr>
      <w:tr>
        <w:trPr>
          <w:trHeight w:val="179" w:hRule="atLeast"/>
        </w:trPr>
        <w:tc>
          <w:tcPr>
            <w:tcW w:w="919" w:type="dxa"/>
          </w:tcPr>
          <w:p>
            <w:pPr>
              <w:pStyle w:val="TableParagraph"/>
              <w:spacing w:line="151" w:lineRule="exact"/>
              <w:ind w:right="59"/>
              <w:jc w:val="right"/>
              <w:rPr>
                <w:sz w:val="14"/>
              </w:rPr>
            </w:pPr>
            <w:r>
              <w:rPr>
                <w:w w:val="95"/>
                <w:sz w:val="14"/>
              </w:rPr>
              <w:t>21600009</w:t>
            </w:r>
          </w:p>
        </w:tc>
        <w:tc>
          <w:tcPr>
            <w:tcW w:w="2861" w:type="dxa"/>
          </w:tcPr>
          <w:p>
            <w:pPr>
              <w:pStyle w:val="TableParagraph"/>
              <w:spacing w:line="151" w:lineRule="exact"/>
              <w:ind w:left="69"/>
              <w:rPr>
                <w:sz w:val="14"/>
              </w:rPr>
            </w:pPr>
            <w:r>
              <w:rPr>
                <w:sz w:val="14"/>
              </w:rPr>
              <w:t>ESTORES</w:t>
            </w:r>
          </w:p>
        </w:tc>
        <w:tc>
          <w:tcPr>
            <w:tcW w:w="1001" w:type="dxa"/>
          </w:tcPr>
          <w:p>
            <w:pPr>
              <w:pStyle w:val="TableParagraph"/>
              <w:spacing w:line="151" w:lineRule="exact"/>
              <w:ind w:right="61"/>
              <w:jc w:val="right"/>
              <w:rPr>
                <w:sz w:val="14"/>
              </w:rPr>
            </w:pPr>
            <w:r>
              <w:rPr>
                <w:w w:val="95"/>
                <w:sz w:val="14"/>
              </w:rPr>
              <w:t>09/07/2020</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456,78</w:t>
            </w:r>
          </w:p>
        </w:tc>
        <w:tc>
          <w:tcPr>
            <w:tcW w:w="1006" w:type="dxa"/>
          </w:tcPr>
          <w:p>
            <w:pPr>
              <w:pStyle w:val="TableParagraph"/>
              <w:spacing w:line="151" w:lineRule="exact"/>
              <w:ind w:right="63"/>
              <w:jc w:val="right"/>
              <w:rPr>
                <w:sz w:val="14"/>
              </w:rPr>
            </w:pPr>
            <w:r>
              <w:rPr>
                <w:w w:val="95"/>
                <w:sz w:val="14"/>
              </w:rPr>
              <w:t>45,68</w:t>
            </w:r>
          </w:p>
        </w:tc>
        <w:tc>
          <w:tcPr>
            <w:tcW w:w="939" w:type="dxa"/>
          </w:tcPr>
          <w:p>
            <w:pPr>
              <w:pStyle w:val="TableParagraph"/>
              <w:spacing w:line="151" w:lineRule="exact"/>
              <w:ind w:right="63"/>
              <w:jc w:val="right"/>
              <w:rPr>
                <w:sz w:val="14"/>
              </w:rPr>
            </w:pPr>
            <w:r>
              <w:rPr>
                <w:sz w:val="14"/>
              </w:rPr>
              <w:t>205,70</w:t>
            </w:r>
          </w:p>
        </w:tc>
        <w:tc>
          <w:tcPr>
            <w:tcW w:w="881" w:type="dxa"/>
          </w:tcPr>
          <w:p>
            <w:pPr>
              <w:pStyle w:val="TableParagraph"/>
              <w:spacing w:line="151" w:lineRule="exact"/>
              <w:ind w:right="64"/>
              <w:jc w:val="right"/>
              <w:rPr>
                <w:sz w:val="14"/>
              </w:rPr>
            </w:pPr>
            <w:r>
              <w:rPr>
                <w:sz w:val="14"/>
              </w:rPr>
              <w:t>251,08</w:t>
            </w:r>
          </w:p>
        </w:tc>
      </w:tr>
      <w:tr>
        <w:trPr>
          <w:trHeight w:val="182" w:hRule="atLeast"/>
        </w:trPr>
        <w:tc>
          <w:tcPr>
            <w:tcW w:w="919" w:type="dxa"/>
          </w:tcPr>
          <w:p>
            <w:pPr>
              <w:pStyle w:val="TableParagraph"/>
              <w:spacing w:line="154" w:lineRule="exact"/>
              <w:ind w:right="59"/>
              <w:jc w:val="right"/>
              <w:rPr>
                <w:sz w:val="14"/>
              </w:rPr>
            </w:pPr>
            <w:r>
              <w:rPr>
                <w:w w:val="95"/>
                <w:sz w:val="14"/>
              </w:rPr>
              <w:t>21600010</w:t>
            </w:r>
          </w:p>
        </w:tc>
        <w:tc>
          <w:tcPr>
            <w:tcW w:w="2861" w:type="dxa"/>
          </w:tcPr>
          <w:p>
            <w:pPr>
              <w:pStyle w:val="TableParagraph"/>
              <w:spacing w:line="154" w:lineRule="exact"/>
              <w:ind w:left="69"/>
              <w:rPr>
                <w:sz w:val="14"/>
              </w:rPr>
            </w:pPr>
            <w:r>
              <w:rPr>
                <w:sz w:val="14"/>
              </w:rPr>
              <w:t>500 FUNDAS DE TELA LONETA TEXT</w:t>
            </w:r>
          </w:p>
        </w:tc>
        <w:tc>
          <w:tcPr>
            <w:tcW w:w="1001" w:type="dxa"/>
          </w:tcPr>
          <w:p>
            <w:pPr>
              <w:pStyle w:val="TableParagraph"/>
              <w:spacing w:line="154" w:lineRule="exact"/>
              <w:ind w:right="61"/>
              <w:jc w:val="right"/>
              <w:rPr>
                <w:sz w:val="14"/>
              </w:rPr>
            </w:pPr>
            <w:r>
              <w:rPr>
                <w:w w:val="95"/>
                <w:sz w:val="14"/>
              </w:rPr>
              <w:t>01/09/2020</w:t>
            </w:r>
          </w:p>
        </w:tc>
        <w:tc>
          <w:tcPr>
            <w:tcW w:w="579" w:type="dxa"/>
          </w:tcPr>
          <w:p>
            <w:pPr>
              <w:pStyle w:val="TableParagraph"/>
              <w:spacing w:line="154" w:lineRule="exact"/>
              <w:ind w:right="60"/>
              <w:jc w:val="right"/>
              <w:rPr>
                <w:sz w:val="14"/>
              </w:rPr>
            </w:pPr>
            <w:r>
              <w:rPr>
                <w:w w:val="95"/>
                <w:sz w:val="14"/>
              </w:rPr>
              <w:t>10,00</w:t>
            </w:r>
          </w:p>
        </w:tc>
        <w:tc>
          <w:tcPr>
            <w:tcW w:w="862" w:type="dxa"/>
          </w:tcPr>
          <w:p>
            <w:pPr>
              <w:pStyle w:val="TableParagraph"/>
              <w:spacing w:line="154" w:lineRule="exact"/>
              <w:ind w:right="62"/>
              <w:jc w:val="right"/>
              <w:rPr>
                <w:sz w:val="14"/>
              </w:rPr>
            </w:pPr>
            <w:r>
              <w:rPr>
                <w:w w:val="95"/>
                <w:sz w:val="14"/>
              </w:rPr>
              <w:t>3.300,00</w:t>
            </w:r>
          </w:p>
        </w:tc>
        <w:tc>
          <w:tcPr>
            <w:tcW w:w="1006" w:type="dxa"/>
          </w:tcPr>
          <w:p>
            <w:pPr>
              <w:pStyle w:val="TableParagraph"/>
              <w:spacing w:line="154" w:lineRule="exact"/>
              <w:ind w:right="63"/>
              <w:jc w:val="right"/>
              <w:rPr>
                <w:sz w:val="14"/>
              </w:rPr>
            </w:pPr>
            <w:r>
              <w:rPr>
                <w:sz w:val="14"/>
              </w:rPr>
              <w:t>330,00</w:t>
            </w:r>
          </w:p>
        </w:tc>
        <w:tc>
          <w:tcPr>
            <w:tcW w:w="939" w:type="dxa"/>
          </w:tcPr>
          <w:p>
            <w:pPr>
              <w:pStyle w:val="TableParagraph"/>
              <w:spacing w:line="154" w:lineRule="exact"/>
              <w:ind w:right="63"/>
              <w:jc w:val="right"/>
              <w:rPr>
                <w:sz w:val="14"/>
              </w:rPr>
            </w:pPr>
            <w:r>
              <w:rPr>
                <w:w w:val="95"/>
                <w:sz w:val="14"/>
              </w:rPr>
              <w:t>1.430,00</w:t>
            </w:r>
          </w:p>
        </w:tc>
        <w:tc>
          <w:tcPr>
            <w:tcW w:w="881" w:type="dxa"/>
          </w:tcPr>
          <w:p>
            <w:pPr>
              <w:pStyle w:val="TableParagraph"/>
              <w:spacing w:line="154" w:lineRule="exact"/>
              <w:ind w:right="64"/>
              <w:jc w:val="right"/>
              <w:rPr>
                <w:sz w:val="14"/>
              </w:rPr>
            </w:pPr>
            <w:r>
              <w:rPr>
                <w:w w:val="95"/>
                <w:sz w:val="14"/>
              </w:rPr>
              <w:t>1.870,00</w:t>
            </w:r>
          </w:p>
        </w:tc>
      </w:tr>
      <w:tr>
        <w:trPr>
          <w:trHeight w:val="179" w:hRule="atLeast"/>
        </w:trPr>
        <w:tc>
          <w:tcPr>
            <w:tcW w:w="919" w:type="dxa"/>
          </w:tcPr>
          <w:p>
            <w:pPr>
              <w:pStyle w:val="TableParagraph"/>
              <w:spacing w:line="154" w:lineRule="exact" w:before="5"/>
              <w:ind w:right="59"/>
              <w:jc w:val="right"/>
              <w:rPr>
                <w:sz w:val="14"/>
              </w:rPr>
            </w:pPr>
            <w:r>
              <w:rPr>
                <w:w w:val="95"/>
                <w:sz w:val="14"/>
              </w:rPr>
              <w:t>21600011</w:t>
            </w:r>
          </w:p>
        </w:tc>
        <w:tc>
          <w:tcPr>
            <w:tcW w:w="2861" w:type="dxa"/>
          </w:tcPr>
          <w:p>
            <w:pPr>
              <w:pStyle w:val="TableParagraph"/>
              <w:spacing w:line="154" w:lineRule="exact" w:before="5"/>
              <w:ind w:left="69"/>
              <w:rPr>
                <w:sz w:val="14"/>
              </w:rPr>
            </w:pPr>
            <w:r>
              <w:rPr>
                <w:sz w:val="14"/>
              </w:rPr>
              <w:t>VENTANAL 2 HOJAS ABISAGRADAS</w:t>
            </w:r>
          </w:p>
        </w:tc>
        <w:tc>
          <w:tcPr>
            <w:tcW w:w="1001" w:type="dxa"/>
          </w:tcPr>
          <w:p>
            <w:pPr>
              <w:pStyle w:val="TableParagraph"/>
              <w:spacing w:line="154" w:lineRule="exact" w:before="5"/>
              <w:ind w:right="61"/>
              <w:jc w:val="right"/>
              <w:rPr>
                <w:sz w:val="14"/>
              </w:rPr>
            </w:pPr>
            <w:r>
              <w:rPr>
                <w:w w:val="95"/>
                <w:sz w:val="14"/>
              </w:rPr>
              <w:t>20/10/2020</w:t>
            </w:r>
          </w:p>
        </w:tc>
        <w:tc>
          <w:tcPr>
            <w:tcW w:w="579" w:type="dxa"/>
          </w:tcPr>
          <w:p>
            <w:pPr>
              <w:pStyle w:val="TableParagraph"/>
              <w:spacing w:line="154" w:lineRule="exact" w:before="5"/>
              <w:ind w:right="60"/>
              <w:jc w:val="right"/>
              <w:rPr>
                <w:sz w:val="14"/>
              </w:rPr>
            </w:pPr>
            <w:r>
              <w:rPr>
                <w:w w:val="95"/>
                <w:sz w:val="14"/>
              </w:rPr>
              <w:t>10,00</w:t>
            </w:r>
          </w:p>
        </w:tc>
        <w:tc>
          <w:tcPr>
            <w:tcW w:w="862" w:type="dxa"/>
          </w:tcPr>
          <w:p>
            <w:pPr>
              <w:pStyle w:val="TableParagraph"/>
              <w:spacing w:line="154" w:lineRule="exact" w:before="5"/>
              <w:ind w:right="62"/>
              <w:jc w:val="right"/>
              <w:rPr>
                <w:sz w:val="14"/>
              </w:rPr>
            </w:pPr>
            <w:r>
              <w:rPr>
                <w:sz w:val="14"/>
              </w:rPr>
              <w:t>502,90</w:t>
            </w:r>
          </w:p>
        </w:tc>
        <w:tc>
          <w:tcPr>
            <w:tcW w:w="1006" w:type="dxa"/>
          </w:tcPr>
          <w:p>
            <w:pPr>
              <w:pStyle w:val="TableParagraph"/>
              <w:spacing w:line="154" w:lineRule="exact" w:before="5"/>
              <w:ind w:right="63"/>
              <w:jc w:val="right"/>
              <w:rPr>
                <w:sz w:val="14"/>
              </w:rPr>
            </w:pPr>
            <w:r>
              <w:rPr>
                <w:w w:val="95"/>
                <w:sz w:val="14"/>
              </w:rPr>
              <w:t>50,29</w:t>
            </w:r>
          </w:p>
        </w:tc>
        <w:tc>
          <w:tcPr>
            <w:tcW w:w="939" w:type="dxa"/>
          </w:tcPr>
          <w:p>
            <w:pPr>
              <w:pStyle w:val="TableParagraph"/>
              <w:spacing w:line="154" w:lineRule="exact" w:before="5"/>
              <w:ind w:right="63"/>
              <w:jc w:val="right"/>
              <w:rPr>
                <w:sz w:val="14"/>
              </w:rPr>
            </w:pPr>
            <w:r>
              <w:rPr>
                <w:sz w:val="14"/>
              </w:rPr>
              <w:t>209,51</w:t>
            </w:r>
          </w:p>
        </w:tc>
        <w:tc>
          <w:tcPr>
            <w:tcW w:w="881" w:type="dxa"/>
          </w:tcPr>
          <w:p>
            <w:pPr>
              <w:pStyle w:val="TableParagraph"/>
              <w:spacing w:line="154" w:lineRule="exact" w:before="5"/>
              <w:ind w:right="64"/>
              <w:jc w:val="right"/>
              <w:rPr>
                <w:sz w:val="14"/>
              </w:rPr>
            </w:pPr>
            <w:r>
              <w:rPr>
                <w:sz w:val="14"/>
              </w:rPr>
              <w:t>293,39</w:t>
            </w:r>
          </w:p>
        </w:tc>
      </w:tr>
      <w:tr>
        <w:trPr>
          <w:trHeight w:val="179" w:hRule="atLeast"/>
        </w:trPr>
        <w:tc>
          <w:tcPr>
            <w:tcW w:w="919" w:type="dxa"/>
          </w:tcPr>
          <w:p>
            <w:pPr>
              <w:pStyle w:val="TableParagraph"/>
              <w:spacing w:line="151" w:lineRule="exact"/>
              <w:ind w:right="59"/>
              <w:jc w:val="right"/>
              <w:rPr>
                <w:sz w:val="14"/>
              </w:rPr>
            </w:pPr>
            <w:r>
              <w:rPr>
                <w:w w:val="95"/>
                <w:sz w:val="14"/>
              </w:rPr>
              <w:t>21600012</w:t>
            </w:r>
          </w:p>
        </w:tc>
        <w:tc>
          <w:tcPr>
            <w:tcW w:w="2861" w:type="dxa"/>
          </w:tcPr>
          <w:p>
            <w:pPr>
              <w:pStyle w:val="TableParagraph"/>
              <w:spacing w:line="151" w:lineRule="exact"/>
              <w:ind w:left="69"/>
              <w:rPr>
                <w:sz w:val="14"/>
              </w:rPr>
            </w:pPr>
            <w:r>
              <w:rPr>
                <w:sz w:val="14"/>
              </w:rPr>
              <w:t>CORTINA OFICINA LOS REALEJOS</w:t>
            </w:r>
          </w:p>
        </w:tc>
        <w:tc>
          <w:tcPr>
            <w:tcW w:w="1001" w:type="dxa"/>
          </w:tcPr>
          <w:p>
            <w:pPr>
              <w:pStyle w:val="TableParagraph"/>
              <w:spacing w:line="151" w:lineRule="exact"/>
              <w:ind w:right="61"/>
              <w:jc w:val="right"/>
              <w:rPr>
                <w:sz w:val="14"/>
              </w:rPr>
            </w:pPr>
            <w:r>
              <w:rPr>
                <w:w w:val="95"/>
                <w:sz w:val="14"/>
              </w:rPr>
              <w:t>06/09/2024</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548,75</w:t>
            </w:r>
          </w:p>
        </w:tc>
        <w:tc>
          <w:tcPr>
            <w:tcW w:w="1006" w:type="dxa"/>
          </w:tcPr>
          <w:p>
            <w:pPr>
              <w:pStyle w:val="TableParagraph"/>
              <w:spacing w:line="151" w:lineRule="exact"/>
              <w:ind w:right="63"/>
              <w:jc w:val="right"/>
              <w:rPr>
                <w:sz w:val="14"/>
              </w:rPr>
            </w:pPr>
            <w:r>
              <w:rPr>
                <w:w w:val="95"/>
                <w:sz w:val="14"/>
              </w:rPr>
              <w:t>18,29</w:t>
            </w:r>
          </w:p>
        </w:tc>
        <w:tc>
          <w:tcPr>
            <w:tcW w:w="939" w:type="dxa"/>
          </w:tcPr>
          <w:p>
            <w:pPr>
              <w:pStyle w:val="TableParagraph"/>
              <w:spacing w:line="151" w:lineRule="exact"/>
              <w:ind w:right="63"/>
              <w:jc w:val="right"/>
              <w:rPr>
                <w:sz w:val="14"/>
              </w:rPr>
            </w:pPr>
            <w:r>
              <w:rPr>
                <w:w w:val="95"/>
                <w:sz w:val="14"/>
              </w:rPr>
              <w:t>18,29</w:t>
            </w:r>
          </w:p>
        </w:tc>
        <w:tc>
          <w:tcPr>
            <w:tcW w:w="881" w:type="dxa"/>
          </w:tcPr>
          <w:p>
            <w:pPr>
              <w:pStyle w:val="TableParagraph"/>
              <w:spacing w:line="151" w:lineRule="exact"/>
              <w:ind w:right="64"/>
              <w:jc w:val="right"/>
              <w:rPr>
                <w:sz w:val="14"/>
              </w:rPr>
            </w:pPr>
            <w:r>
              <w:rPr>
                <w:sz w:val="14"/>
              </w:rPr>
              <w:t>530,46</w:t>
            </w:r>
          </w:p>
        </w:tc>
      </w:tr>
      <w:tr>
        <w:trPr>
          <w:trHeight w:val="179" w:hRule="atLeast"/>
        </w:trPr>
        <w:tc>
          <w:tcPr>
            <w:tcW w:w="919" w:type="dxa"/>
          </w:tcPr>
          <w:p>
            <w:pPr>
              <w:pStyle w:val="TableParagraph"/>
              <w:spacing w:line="151" w:lineRule="exact"/>
              <w:ind w:right="59"/>
              <w:jc w:val="right"/>
              <w:rPr>
                <w:sz w:val="14"/>
              </w:rPr>
            </w:pPr>
            <w:r>
              <w:rPr>
                <w:w w:val="95"/>
                <w:sz w:val="14"/>
              </w:rPr>
              <w:t>21600013</w:t>
            </w:r>
          </w:p>
        </w:tc>
        <w:tc>
          <w:tcPr>
            <w:tcW w:w="2861" w:type="dxa"/>
          </w:tcPr>
          <w:p>
            <w:pPr>
              <w:pStyle w:val="TableParagraph"/>
              <w:spacing w:line="151" w:lineRule="exact"/>
              <w:ind w:left="69"/>
              <w:rPr>
                <w:sz w:val="14"/>
              </w:rPr>
            </w:pPr>
            <w:r>
              <w:rPr>
                <w:sz w:val="14"/>
              </w:rPr>
              <w:t>3 BANCADAS YAKARTA 120 CFM</w:t>
            </w:r>
          </w:p>
        </w:tc>
        <w:tc>
          <w:tcPr>
            <w:tcW w:w="1001" w:type="dxa"/>
          </w:tcPr>
          <w:p>
            <w:pPr>
              <w:pStyle w:val="TableParagraph"/>
              <w:spacing w:line="151" w:lineRule="exact"/>
              <w:ind w:right="61"/>
              <w:jc w:val="right"/>
              <w:rPr>
                <w:sz w:val="14"/>
              </w:rPr>
            </w:pPr>
            <w:r>
              <w:rPr>
                <w:w w:val="95"/>
                <w:sz w:val="14"/>
              </w:rPr>
              <w:t>01/10/2024</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360,00</w:t>
            </w:r>
          </w:p>
        </w:tc>
        <w:tc>
          <w:tcPr>
            <w:tcW w:w="1006" w:type="dxa"/>
          </w:tcPr>
          <w:p>
            <w:pPr>
              <w:pStyle w:val="TableParagraph"/>
              <w:spacing w:line="151" w:lineRule="exact"/>
              <w:ind w:right="63"/>
              <w:jc w:val="right"/>
              <w:rPr>
                <w:sz w:val="14"/>
              </w:rPr>
            </w:pPr>
            <w:r>
              <w:rPr>
                <w:sz w:val="14"/>
              </w:rPr>
              <w:t>9,00</w:t>
            </w:r>
          </w:p>
        </w:tc>
        <w:tc>
          <w:tcPr>
            <w:tcW w:w="939" w:type="dxa"/>
          </w:tcPr>
          <w:p>
            <w:pPr>
              <w:pStyle w:val="TableParagraph"/>
              <w:spacing w:line="151" w:lineRule="exact"/>
              <w:ind w:right="63"/>
              <w:jc w:val="right"/>
              <w:rPr>
                <w:sz w:val="14"/>
              </w:rPr>
            </w:pPr>
            <w:r>
              <w:rPr>
                <w:sz w:val="14"/>
              </w:rPr>
              <w:t>9,00</w:t>
            </w:r>
          </w:p>
        </w:tc>
        <w:tc>
          <w:tcPr>
            <w:tcW w:w="881" w:type="dxa"/>
          </w:tcPr>
          <w:p>
            <w:pPr>
              <w:pStyle w:val="TableParagraph"/>
              <w:spacing w:line="151" w:lineRule="exact"/>
              <w:ind w:right="64"/>
              <w:jc w:val="right"/>
              <w:rPr>
                <w:sz w:val="14"/>
              </w:rPr>
            </w:pPr>
            <w:r>
              <w:rPr>
                <w:sz w:val="14"/>
              </w:rPr>
              <w:t>351,00</w:t>
            </w:r>
          </w:p>
        </w:tc>
      </w:tr>
      <w:tr>
        <w:trPr>
          <w:trHeight w:val="179" w:hRule="atLeast"/>
        </w:trPr>
        <w:tc>
          <w:tcPr>
            <w:tcW w:w="919" w:type="dxa"/>
          </w:tcPr>
          <w:p>
            <w:pPr>
              <w:pStyle w:val="TableParagraph"/>
              <w:spacing w:line="151" w:lineRule="exact"/>
              <w:ind w:right="59"/>
              <w:jc w:val="right"/>
              <w:rPr>
                <w:sz w:val="14"/>
              </w:rPr>
            </w:pPr>
            <w:r>
              <w:rPr>
                <w:w w:val="95"/>
                <w:sz w:val="14"/>
              </w:rPr>
              <w:t>21600014</w:t>
            </w:r>
          </w:p>
        </w:tc>
        <w:tc>
          <w:tcPr>
            <w:tcW w:w="2861" w:type="dxa"/>
          </w:tcPr>
          <w:p>
            <w:pPr>
              <w:pStyle w:val="TableParagraph"/>
              <w:spacing w:line="151" w:lineRule="exact"/>
              <w:ind w:left="69"/>
              <w:rPr>
                <w:sz w:val="14"/>
              </w:rPr>
            </w:pPr>
            <w:r>
              <w:rPr>
                <w:sz w:val="14"/>
              </w:rPr>
              <w:t>3 PERCHA PARED METAL 5 GANCHOS</w:t>
            </w:r>
          </w:p>
        </w:tc>
        <w:tc>
          <w:tcPr>
            <w:tcW w:w="1001" w:type="dxa"/>
          </w:tcPr>
          <w:p>
            <w:pPr>
              <w:pStyle w:val="TableParagraph"/>
              <w:spacing w:line="151" w:lineRule="exact"/>
              <w:ind w:right="61"/>
              <w:jc w:val="right"/>
              <w:rPr>
                <w:sz w:val="14"/>
              </w:rPr>
            </w:pPr>
            <w:r>
              <w:rPr>
                <w:w w:val="95"/>
                <w:sz w:val="14"/>
              </w:rPr>
              <w:t>01/10/2024</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179,70</w:t>
            </w:r>
          </w:p>
        </w:tc>
        <w:tc>
          <w:tcPr>
            <w:tcW w:w="1006" w:type="dxa"/>
          </w:tcPr>
          <w:p>
            <w:pPr>
              <w:pStyle w:val="TableParagraph"/>
              <w:spacing w:line="151" w:lineRule="exact"/>
              <w:ind w:right="63"/>
              <w:jc w:val="right"/>
              <w:rPr>
                <w:sz w:val="14"/>
              </w:rPr>
            </w:pPr>
            <w:r>
              <w:rPr>
                <w:sz w:val="14"/>
              </w:rPr>
              <w:t>4,49</w:t>
            </w:r>
          </w:p>
        </w:tc>
        <w:tc>
          <w:tcPr>
            <w:tcW w:w="939" w:type="dxa"/>
          </w:tcPr>
          <w:p>
            <w:pPr>
              <w:pStyle w:val="TableParagraph"/>
              <w:spacing w:line="151" w:lineRule="exact"/>
              <w:ind w:right="63"/>
              <w:jc w:val="right"/>
              <w:rPr>
                <w:sz w:val="14"/>
              </w:rPr>
            </w:pPr>
            <w:r>
              <w:rPr>
                <w:sz w:val="14"/>
              </w:rPr>
              <w:t>4,49</w:t>
            </w:r>
          </w:p>
        </w:tc>
        <w:tc>
          <w:tcPr>
            <w:tcW w:w="881" w:type="dxa"/>
          </w:tcPr>
          <w:p>
            <w:pPr>
              <w:pStyle w:val="TableParagraph"/>
              <w:spacing w:line="151" w:lineRule="exact"/>
              <w:ind w:right="64"/>
              <w:jc w:val="right"/>
              <w:rPr>
                <w:sz w:val="14"/>
              </w:rPr>
            </w:pPr>
            <w:r>
              <w:rPr>
                <w:sz w:val="14"/>
              </w:rPr>
              <w:t>175,21</w:t>
            </w:r>
          </w:p>
        </w:tc>
      </w:tr>
      <w:tr>
        <w:trPr>
          <w:trHeight w:val="179" w:hRule="atLeast"/>
        </w:trPr>
        <w:tc>
          <w:tcPr>
            <w:tcW w:w="919" w:type="dxa"/>
          </w:tcPr>
          <w:p>
            <w:pPr>
              <w:pStyle w:val="TableParagraph"/>
              <w:spacing w:line="151" w:lineRule="exact"/>
              <w:ind w:right="59"/>
              <w:jc w:val="right"/>
              <w:rPr>
                <w:sz w:val="14"/>
              </w:rPr>
            </w:pPr>
            <w:r>
              <w:rPr>
                <w:w w:val="95"/>
                <w:sz w:val="14"/>
              </w:rPr>
              <w:t>216000015</w:t>
            </w:r>
          </w:p>
        </w:tc>
        <w:tc>
          <w:tcPr>
            <w:tcW w:w="2861" w:type="dxa"/>
          </w:tcPr>
          <w:p>
            <w:pPr>
              <w:pStyle w:val="TableParagraph"/>
              <w:spacing w:line="151" w:lineRule="exact"/>
              <w:ind w:left="69"/>
              <w:rPr>
                <w:sz w:val="14"/>
              </w:rPr>
            </w:pPr>
            <w:r>
              <w:rPr>
                <w:sz w:val="14"/>
              </w:rPr>
              <w:t>SILLA EFIT R/ALTO C/B NEGRO</w:t>
            </w:r>
          </w:p>
        </w:tc>
        <w:tc>
          <w:tcPr>
            <w:tcW w:w="1001" w:type="dxa"/>
          </w:tcPr>
          <w:p>
            <w:pPr>
              <w:pStyle w:val="TableParagraph"/>
              <w:spacing w:line="151" w:lineRule="exact"/>
              <w:ind w:right="61"/>
              <w:jc w:val="right"/>
              <w:rPr>
                <w:sz w:val="14"/>
              </w:rPr>
            </w:pPr>
            <w:r>
              <w:rPr>
                <w:w w:val="95"/>
                <w:sz w:val="14"/>
              </w:rPr>
              <w:t>01/03/2024</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299,00</w:t>
            </w:r>
          </w:p>
        </w:tc>
        <w:tc>
          <w:tcPr>
            <w:tcW w:w="1006" w:type="dxa"/>
          </w:tcPr>
          <w:p>
            <w:pPr>
              <w:pStyle w:val="TableParagraph"/>
              <w:spacing w:line="151" w:lineRule="exact"/>
              <w:ind w:right="63"/>
              <w:jc w:val="right"/>
              <w:rPr>
                <w:sz w:val="14"/>
              </w:rPr>
            </w:pPr>
            <w:r>
              <w:rPr>
                <w:w w:val="95"/>
                <w:sz w:val="14"/>
              </w:rPr>
              <w:t>22,43</w:t>
            </w:r>
          </w:p>
        </w:tc>
        <w:tc>
          <w:tcPr>
            <w:tcW w:w="939" w:type="dxa"/>
          </w:tcPr>
          <w:p>
            <w:pPr>
              <w:pStyle w:val="TableParagraph"/>
              <w:spacing w:line="151" w:lineRule="exact"/>
              <w:ind w:right="63"/>
              <w:jc w:val="right"/>
              <w:rPr>
                <w:sz w:val="14"/>
              </w:rPr>
            </w:pPr>
            <w:r>
              <w:rPr>
                <w:w w:val="95"/>
                <w:sz w:val="14"/>
              </w:rPr>
              <w:t>22,43</w:t>
            </w:r>
          </w:p>
        </w:tc>
        <w:tc>
          <w:tcPr>
            <w:tcW w:w="881" w:type="dxa"/>
          </w:tcPr>
          <w:p>
            <w:pPr>
              <w:pStyle w:val="TableParagraph"/>
              <w:spacing w:line="151" w:lineRule="exact"/>
              <w:ind w:right="64"/>
              <w:jc w:val="right"/>
              <w:rPr>
                <w:sz w:val="14"/>
              </w:rPr>
            </w:pPr>
            <w:r>
              <w:rPr>
                <w:sz w:val="14"/>
              </w:rPr>
              <w:t>276,57</w:t>
            </w:r>
          </w:p>
        </w:tc>
      </w:tr>
      <w:tr>
        <w:trPr>
          <w:trHeight w:val="182" w:hRule="atLeast"/>
        </w:trPr>
        <w:tc>
          <w:tcPr>
            <w:tcW w:w="919" w:type="dxa"/>
          </w:tcPr>
          <w:p>
            <w:pPr>
              <w:pStyle w:val="TableParagraph"/>
              <w:spacing w:before="0"/>
              <w:rPr>
                <w:rFonts w:ascii="Times New Roman"/>
                <w:sz w:val="12"/>
              </w:rPr>
            </w:pPr>
          </w:p>
        </w:tc>
        <w:tc>
          <w:tcPr>
            <w:tcW w:w="4441" w:type="dxa"/>
            <w:gridSpan w:val="3"/>
          </w:tcPr>
          <w:p>
            <w:pPr>
              <w:pStyle w:val="TableParagraph"/>
              <w:spacing w:line="154" w:lineRule="exact"/>
              <w:ind w:left="1632" w:right="1625"/>
              <w:jc w:val="center"/>
              <w:rPr>
                <w:b/>
                <w:sz w:val="14"/>
              </w:rPr>
            </w:pPr>
            <w:r>
              <w:rPr>
                <w:b/>
                <w:sz w:val="14"/>
              </w:rPr>
              <w:t>TOTAL MOBILIARIO</w:t>
            </w:r>
          </w:p>
        </w:tc>
        <w:tc>
          <w:tcPr>
            <w:tcW w:w="862" w:type="dxa"/>
          </w:tcPr>
          <w:p>
            <w:pPr>
              <w:pStyle w:val="TableParagraph"/>
              <w:spacing w:line="154" w:lineRule="exact"/>
              <w:ind w:right="62"/>
              <w:jc w:val="right"/>
              <w:rPr>
                <w:b/>
                <w:sz w:val="14"/>
              </w:rPr>
            </w:pPr>
            <w:r>
              <w:rPr>
                <w:b/>
                <w:w w:val="95"/>
                <w:sz w:val="14"/>
              </w:rPr>
              <w:t>11.067,13</w:t>
            </w:r>
          </w:p>
        </w:tc>
        <w:tc>
          <w:tcPr>
            <w:tcW w:w="1006" w:type="dxa"/>
          </w:tcPr>
          <w:p>
            <w:pPr>
              <w:pStyle w:val="TableParagraph"/>
              <w:spacing w:line="154" w:lineRule="exact"/>
              <w:ind w:right="63"/>
              <w:jc w:val="right"/>
              <w:rPr>
                <w:b/>
                <w:sz w:val="14"/>
              </w:rPr>
            </w:pPr>
            <w:r>
              <w:rPr>
                <w:b/>
                <w:w w:val="95"/>
                <w:sz w:val="14"/>
              </w:rPr>
              <w:t>1.022,18</w:t>
            </w:r>
          </w:p>
        </w:tc>
        <w:tc>
          <w:tcPr>
            <w:tcW w:w="939" w:type="dxa"/>
          </w:tcPr>
          <w:p>
            <w:pPr>
              <w:pStyle w:val="TableParagraph"/>
              <w:spacing w:line="154" w:lineRule="exact"/>
              <w:ind w:right="63"/>
              <w:jc w:val="right"/>
              <w:rPr>
                <w:b/>
                <w:sz w:val="14"/>
              </w:rPr>
            </w:pPr>
            <w:r>
              <w:rPr>
                <w:b/>
                <w:w w:val="95"/>
                <w:sz w:val="14"/>
              </w:rPr>
              <w:t>5.934,65</w:t>
            </w:r>
          </w:p>
        </w:tc>
        <w:tc>
          <w:tcPr>
            <w:tcW w:w="881" w:type="dxa"/>
          </w:tcPr>
          <w:p>
            <w:pPr>
              <w:pStyle w:val="TableParagraph"/>
              <w:spacing w:line="154" w:lineRule="exact"/>
              <w:ind w:right="64"/>
              <w:jc w:val="right"/>
              <w:rPr>
                <w:b/>
                <w:sz w:val="14"/>
              </w:rPr>
            </w:pPr>
            <w:r>
              <w:rPr>
                <w:b/>
                <w:w w:val="95"/>
                <w:sz w:val="14"/>
              </w:rPr>
              <w:t>5.132,48</w:t>
            </w:r>
          </w:p>
        </w:tc>
      </w:tr>
      <w:tr>
        <w:trPr>
          <w:trHeight w:val="179" w:hRule="atLeast"/>
        </w:trPr>
        <w:tc>
          <w:tcPr>
            <w:tcW w:w="919" w:type="dxa"/>
          </w:tcPr>
          <w:p>
            <w:pPr>
              <w:pStyle w:val="TableParagraph"/>
              <w:spacing w:line="154" w:lineRule="exact" w:before="5"/>
              <w:ind w:right="59"/>
              <w:jc w:val="right"/>
              <w:rPr>
                <w:sz w:val="14"/>
              </w:rPr>
            </w:pPr>
            <w:r>
              <w:rPr>
                <w:w w:val="95"/>
                <w:sz w:val="14"/>
              </w:rPr>
              <w:t>21700001</w:t>
            </w:r>
          </w:p>
        </w:tc>
        <w:tc>
          <w:tcPr>
            <w:tcW w:w="2861" w:type="dxa"/>
          </w:tcPr>
          <w:p>
            <w:pPr>
              <w:pStyle w:val="TableParagraph"/>
              <w:spacing w:line="154" w:lineRule="exact" w:before="5"/>
              <w:ind w:left="69"/>
              <w:rPr>
                <w:sz w:val="14"/>
              </w:rPr>
            </w:pPr>
            <w:r>
              <w:rPr>
                <w:sz w:val="14"/>
              </w:rPr>
              <w:t>DISCO DURO EXTERNO VERBATIM</w:t>
            </w:r>
          </w:p>
        </w:tc>
        <w:tc>
          <w:tcPr>
            <w:tcW w:w="1001" w:type="dxa"/>
          </w:tcPr>
          <w:p>
            <w:pPr>
              <w:pStyle w:val="TableParagraph"/>
              <w:spacing w:line="154" w:lineRule="exact" w:before="5"/>
              <w:ind w:right="61"/>
              <w:jc w:val="right"/>
              <w:rPr>
                <w:sz w:val="14"/>
              </w:rPr>
            </w:pPr>
            <w:r>
              <w:rPr>
                <w:w w:val="95"/>
                <w:sz w:val="14"/>
              </w:rPr>
              <w:t>05/03/2012</w:t>
            </w:r>
          </w:p>
        </w:tc>
        <w:tc>
          <w:tcPr>
            <w:tcW w:w="579" w:type="dxa"/>
          </w:tcPr>
          <w:p>
            <w:pPr>
              <w:pStyle w:val="TableParagraph"/>
              <w:spacing w:line="154" w:lineRule="exact" w:before="5"/>
              <w:ind w:right="60"/>
              <w:jc w:val="right"/>
              <w:rPr>
                <w:sz w:val="14"/>
              </w:rPr>
            </w:pPr>
            <w:r>
              <w:rPr>
                <w:w w:val="95"/>
                <w:sz w:val="14"/>
              </w:rPr>
              <w:t>25,00</w:t>
            </w:r>
          </w:p>
        </w:tc>
        <w:tc>
          <w:tcPr>
            <w:tcW w:w="862" w:type="dxa"/>
          </w:tcPr>
          <w:p>
            <w:pPr>
              <w:pStyle w:val="TableParagraph"/>
              <w:spacing w:line="154" w:lineRule="exact" w:before="5"/>
              <w:ind w:right="62"/>
              <w:jc w:val="right"/>
              <w:rPr>
                <w:sz w:val="14"/>
              </w:rPr>
            </w:pPr>
            <w:r>
              <w:rPr>
                <w:sz w:val="14"/>
              </w:rPr>
              <w:t>229,90</w:t>
            </w:r>
          </w:p>
        </w:tc>
        <w:tc>
          <w:tcPr>
            <w:tcW w:w="1006" w:type="dxa"/>
          </w:tcPr>
          <w:p>
            <w:pPr>
              <w:pStyle w:val="TableParagraph"/>
              <w:spacing w:line="154" w:lineRule="exact" w:before="5"/>
              <w:ind w:right="63"/>
              <w:jc w:val="right"/>
              <w:rPr>
                <w:sz w:val="14"/>
              </w:rPr>
            </w:pPr>
            <w:r>
              <w:rPr>
                <w:sz w:val="14"/>
              </w:rPr>
              <w:t>0,00</w:t>
            </w:r>
          </w:p>
        </w:tc>
        <w:tc>
          <w:tcPr>
            <w:tcW w:w="939" w:type="dxa"/>
          </w:tcPr>
          <w:p>
            <w:pPr>
              <w:pStyle w:val="TableParagraph"/>
              <w:spacing w:line="154" w:lineRule="exact" w:before="5"/>
              <w:ind w:right="63"/>
              <w:jc w:val="right"/>
              <w:rPr>
                <w:sz w:val="14"/>
              </w:rPr>
            </w:pPr>
            <w:r>
              <w:rPr>
                <w:sz w:val="14"/>
              </w:rPr>
              <w:t>229,90</w:t>
            </w:r>
          </w:p>
        </w:tc>
        <w:tc>
          <w:tcPr>
            <w:tcW w:w="881" w:type="dxa"/>
          </w:tcPr>
          <w:p>
            <w:pPr>
              <w:pStyle w:val="TableParagraph"/>
              <w:spacing w:line="154" w:lineRule="exact" w:before="5"/>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21700002</w:t>
            </w:r>
          </w:p>
        </w:tc>
        <w:tc>
          <w:tcPr>
            <w:tcW w:w="2861" w:type="dxa"/>
          </w:tcPr>
          <w:p>
            <w:pPr>
              <w:pStyle w:val="TableParagraph"/>
              <w:spacing w:line="151" w:lineRule="exact"/>
              <w:ind w:left="69"/>
              <w:rPr>
                <w:sz w:val="14"/>
              </w:rPr>
            </w:pPr>
            <w:r>
              <w:rPr>
                <w:sz w:val="14"/>
              </w:rPr>
              <w:t>ORDENADOR PACKARD BELL</w:t>
            </w:r>
          </w:p>
        </w:tc>
        <w:tc>
          <w:tcPr>
            <w:tcW w:w="1001" w:type="dxa"/>
          </w:tcPr>
          <w:p>
            <w:pPr>
              <w:pStyle w:val="TableParagraph"/>
              <w:spacing w:line="151" w:lineRule="exact"/>
              <w:ind w:right="61"/>
              <w:jc w:val="right"/>
              <w:rPr>
                <w:sz w:val="14"/>
              </w:rPr>
            </w:pPr>
            <w:r>
              <w:rPr>
                <w:w w:val="95"/>
                <w:sz w:val="14"/>
              </w:rPr>
              <w:t>17/02/2012</w:t>
            </w:r>
          </w:p>
        </w:tc>
        <w:tc>
          <w:tcPr>
            <w:tcW w:w="579" w:type="dxa"/>
          </w:tcPr>
          <w:p>
            <w:pPr>
              <w:pStyle w:val="TableParagraph"/>
              <w:spacing w:line="151" w:lineRule="exact"/>
              <w:ind w:right="60"/>
              <w:jc w:val="right"/>
              <w:rPr>
                <w:sz w:val="14"/>
              </w:rPr>
            </w:pPr>
            <w:r>
              <w:rPr>
                <w:w w:val="95"/>
                <w:sz w:val="14"/>
              </w:rPr>
              <w:t>25,00</w:t>
            </w:r>
          </w:p>
        </w:tc>
        <w:tc>
          <w:tcPr>
            <w:tcW w:w="862" w:type="dxa"/>
          </w:tcPr>
          <w:p>
            <w:pPr>
              <w:pStyle w:val="TableParagraph"/>
              <w:spacing w:line="151" w:lineRule="exact"/>
              <w:ind w:right="62"/>
              <w:jc w:val="right"/>
              <w:rPr>
                <w:sz w:val="14"/>
              </w:rPr>
            </w:pPr>
            <w:r>
              <w:rPr>
                <w:sz w:val="14"/>
              </w:rPr>
              <w:t>970,04</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970,04</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21700003</w:t>
            </w:r>
          </w:p>
        </w:tc>
        <w:tc>
          <w:tcPr>
            <w:tcW w:w="2861" w:type="dxa"/>
          </w:tcPr>
          <w:p>
            <w:pPr>
              <w:pStyle w:val="TableParagraph"/>
              <w:spacing w:line="151" w:lineRule="exact"/>
              <w:ind w:left="69"/>
              <w:rPr>
                <w:sz w:val="14"/>
              </w:rPr>
            </w:pPr>
            <w:r>
              <w:rPr>
                <w:sz w:val="14"/>
              </w:rPr>
              <w:t>ORDENADOR PACKARD BELL</w:t>
            </w:r>
          </w:p>
        </w:tc>
        <w:tc>
          <w:tcPr>
            <w:tcW w:w="1001" w:type="dxa"/>
          </w:tcPr>
          <w:p>
            <w:pPr>
              <w:pStyle w:val="TableParagraph"/>
              <w:spacing w:line="151" w:lineRule="exact"/>
              <w:ind w:right="61"/>
              <w:jc w:val="right"/>
              <w:rPr>
                <w:sz w:val="14"/>
              </w:rPr>
            </w:pPr>
            <w:r>
              <w:rPr>
                <w:w w:val="95"/>
                <w:sz w:val="14"/>
              </w:rPr>
              <w:t>17/02/2012</w:t>
            </w:r>
          </w:p>
        </w:tc>
        <w:tc>
          <w:tcPr>
            <w:tcW w:w="579" w:type="dxa"/>
          </w:tcPr>
          <w:p>
            <w:pPr>
              <w:pStyle w:val="TableParagraph"/>
              <w:spacing w:line="151" w:lineRule="exact"/>
              <w:ind w:right="60"/>
              <w:jc w:val="right"/>
              <w:rPr>
                <w:sz w:val="14"/>
              </w:rPr>
            </w:pPr>
            <w:r>
              <w:rPr>
                <w:w w:val="95"/>
                <w:sz w:val="14"/>
              </w:rPr>
              <w:t>25,00</w:t>
            </w:r>
          </w:p>
        </w:tc>
        <w:tc>
          <w:tcPr>
            <w:tcW w:w="862" w:type="dxa"/>
          </w:tcPr>
          <w:p>
            <w:pPr>
              <w:pStyle w:val="TableParagraph"/>
              <w:spacing w:line="151" w:lineRule="exact"/>
              <w:ind w:right="62"/>
              <w:jc w:val="right"/>
              <w:rPr>
                <w:sz w:val="14"/>
              </w:rPr>
            </w:pPr>
            <w:r>
              <w:rPr>
                <w:sz w:val="14"/>
              </w:rPr>
              <w:t>970,04</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970,04</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21700004</w:t>
            </w:r>
          </w:p>
        </w:tc>
        <w:tc>
          <w:tcPr>
            <w:tcW w:w="2861" w:type="dxa"/>
          </w:tcPr>
          <w:p>
            <w:pPr>
              <w:pStyle w:val="TableParagraph"/>
              <w:spacing w:line="151" w:lineRule="exact"/>
              <w:ind w:left="69"/>
              <w:rPr>
                <w:sz w:val="14"/>
              </w:rPr>
            </w:pPr>
            <w:r>
              <w:rPr>
                <w:sz w:val="14"/>
              </w:rPr>
              <w:t>HP OFFICEJET PRO 85005 PLUS</w:t>
            </w:r>
          </w:p>
        </w:tc>
        <w:tc>
          <w:tcPr>
            <w:tcW w:w="1001" w:type="dxa"/>
          </w:tcPr>
          <w:p>
            <w:pPr>
              <w:pStyle w:val="TableParagraph"/>
              <w:spacing w:line="151" w:lineRule="exact"/>
              <w:ind w:right="61"/>
              <w:jc w:val="right"/>
              <w:rPr>
                <w:sz w:val="14"/>
              </w:rPr>
            </w:pPr>
            <w:r>
              <w:rPr>
                <w:w w:val="95"/>
                <w:sz w:val="14"/>
              </w:rPr>
              <w:t>17/02/2012</w:t>
            </w:r>
          </w:p>
        </w:tc>
        <w:tc>
          <w:tcPr>
            <w:tcW w:w="579" w:type="dxa"/>
          </w:tcPr>
          <w:p>
            <w:pPr>
              <w:pStyle w:val="TableParagraph"/>
              <w:spacing w:line="151" w:lineRule="exact"/>
              <w:ind w:right="60"/>
              <w:jc w:val="right"/>
              <w:rPr>
                <w:sz w:val="14"/>
              </w:rPr>
            </w:pPr>
            <w:r>
              <w:rPr>
                <w:w w:val="95"/>
                <w:sz w:val="14"/>
              </w:rPr>
              <w:t>25,00</w:t>
            </w:r>
          </w:p>
        </w:tc>
        <w:tc>
          <w:tcPr>
            <w:tcW w:w="862" w:type="dxa"/>
          </w:tcPr>
          <w:p>
            <w:pPr>
              <w:pStyle w:val="TableParagraph"/>
              <w:spacing w:line="151" w:lineRule="exact"/>
              <w:ind w:right="62"/>
              <w:jc w:val="right"/>
              <w:rPr>
                <w:sz w:val="14"/>
              </w:rPr>
            </w:pPr>
            <w:r>
              <w:rPr>
                <w:sz w:val="14"/>
              </w:rPr>
              <w:t>274,95</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274,95</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21700005</w:t>
            </w:r>
          </w:p>
        </w:tc>
        <w:tc>
          <w:tcPr>
            <w:tcW w:w="2861" w:type="dxa"/>
          </w:tcPr>
          <w:p>
            <w:pPr>
              <w:pStyle w:val="TableParagraph"/>
              <w:spacing w:line="151" w:lineRule="exact"/>
              <w:ind w:left="69"/>
              <w:rPr>
                <w:sz w:val="14"/>
              </w:rPr>
            </w:pPr>
            <w:r>
              <w:rPr>
                <w:sz w:val="14"/>
              </w:rPr>
              <w:t>HP OFFICEJET PRO 8500A PLUS</w:t>
            </w:r>
          </w:p>
        </w:tc>
        <w:tc>
          <w:tcPr>
            <w:tcW w:w="1001" w:type="dxa"/>
          </w:tcPr>
          <w:p>
            <w:pPr>
              <w:pStyle w:val="TableParagraph"/>
              <w:spacing w:line="151" w:lineRule="exact"/>
              <w:ind w:right="61"/>
              <w:jc w:val="right"/>
              <w:rPr>
                <w:sz w:val="14"/>
              </w:rPr>
            </w:pPr>
            <w:r>
              <w:rPr>
                <w:w w:val="95"/>
                <w:sz w:val="14"/>
              </w:rPr>
              <w:t>17/02/2012</w:t>
            </w:r>
          </w:p>
        </w:tc>
        <w:tc>
          <w:tcPr>
            <w:tcW w:w="579" w:type="dxa"/>
          </w:tcPr>
          <w:p>
            <w:pPr>
              <w:pStyle w:val="TableParagraph"/>
              <w:spacing w:line="151" w:lineRule="exact"/>
              <w:ind w:right="60"/>
              <w:jc w:val="right"/>
              <w:rPr>
                <w:sz w:val="14"/>
              </w:rPr>
            </w:pPr>
            <w:r>
              <w:rPr>
                <w:w w:val="95"/>
                <w:sz w:val="14"/>
              </w:rPr>
              <w:t>25,00</w:t>
            </w:r>
          </w:p>
        </w:tc>
        <w:tc>
          <w:tcPr>
            <w:tcW w:w="862" w:type="dxa"/>
          </w:tcPr>
          <w:p>
            <w:pPr>
              <w:pStyle w:val="TableParagraph"/>
              <w:spacing w:line="151" w:lineRule="exact"/>
              <w:ind w:right="62"/>
              <w:jc w:val="right"/>
              <w:rPr>
                <w:sz w:val="14"/>
              </w:rPr>
            </w:pPr>
            <w:r>
              <w:rPr>
                <w:sz w:val="14"/>
              </w:rPr>
              <w:t>274,95</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274,95</w:t>
            </w:r>
          </w:p>
        </w:tc>
        <w:tc>
          <w:tcPr>
            <w:tcW w:w="881" w:type="dxa"/>
          </w:tcPr>
          <w:p>
            <w:pPr>
              <w:pStyle w:val="TableParagraph"/>
              <w:spacing w:line="151" w:lineRule="exact"/>
              <w:ind w:right="64"/>
              <w:jc w:val="right"/>
              <w:rPr>
                <w:sz w:val="14"/>
              </w:rPr>
            </w:pPr>
            <w:r>
              <w:rPr>
                <w:sz w:val="14"/>
              </w:rPr>
              <w:t>0,00</w:t>
            </w:r>
          </w:p>
        </w:tc>
      </w:tr>
      <w:tr>
        <w:trPr>
          <w:trHeight w:val="182" w:hRule="atLeast"/>
        </w:trPr>
        <w:tc>
          <w:tcPr>
            <w:tcW w:w="919" w:type="dxa"/>
          </w:tcPr>
          <w:p>
            <w:pPr>
              <w:pStyle w:val="TableParagraph"/>
              <w:spacing w:line="154" w:lineRule="exact"/>
              <w:ind w:right="59"/>
              <w:jc w:val="right"/>
              <w:rPr>
                <w:sz w:val="14"/>
              </w:rPr>
            </w:pPr>
            <w:r>
              <w:rPr>
                <w:w w:val="95"/>
                <w:sz w:val="14"/>
              </w:rPr>
              <w:t>21700006</w:t>
            </w:r>
          </w:p>
        </w:tc>
        <w:tc>
          <w:tcPr>
            <w:tcW w:w="2861" w:type="dxa"/>
          </w:tcPr>
          <w:p>
            <w:pPr>
              <w:pStyle w:val="TableParagraph"/>
              <w:spacing w:line="154" w:lineRule="exact"/>
              <w:ind w:left="69"/>
              <w:rPr>
                <w:sz w:val="14"/>
              </w:rPr>
            </w:pPr>
            <w:r>
              <w:rPr>
                <w:sz w:val="14"/>
              </w:rPr>
              <w:t>ACER ASPIRE E5-35L8</w:t>
            </w:r>
          </w:p>
        </w:tc>
        <w:tc>
          <w:tcPr>
            <w:tcW w:w="1001" w:type="dxa"/>
          </w:tcPr>
          <w:p>
            <w:pPr>
              <w:pStyle w:val="TableParagraph"/>
              <w:spacing w:line="154" w:lineRule="exact"/>
              <w:ind w:right="61"/>
              <w:jc w:val="right"/>
              <w:rPr>
                <w:sz w:val="14"/>
              </w:rPr>
            </w:pPr>
            <w:r>
              <w:rPr>
                <w:w w:val="95"/>
                <w:sz w:val="14"/>
              </w:rPr>
              <w:t>09/03/2015</w:t>
            </w:r>
          </w:p>
        </w:tc>
        <w:tc>
          <w:tcPr>
            <w:tcW w:w="579" w:type="dxa"/>
          </w:tcPr>
          <w:p>
            <w:pPr>
              <w:pStyle w:val="TableParagraph"/>
              <w:spacing w:line="154" w:lineRule="exact"/>
              <w:ind w:right="60"/>
              <w:jc w:val="right"/>
              <w:rPr>
                <w:sz w:val="14"/>
              </w:rPr>
            </w:pPr>
            <w:r>
              <w:rPr>
                <w:w w:val="95"/>
                <w:sz w:val="14"/>
              </w:rPr>
              <w:t>25,00</w:t>
            </w:r>
          </w:p>
        </w:tc>
        <w:tc>
          <w:tcPr>
            <w:tcW w:w="862" w:type="dxa"/>
          </w:tcPr>
          <w:p>
            <w:pPr>
              <w:pStyle w:val="TableParagraph"/>
              <w:spacing w:line="154" w:lineRule="exact"/>
              <w:ind w:right="62"/>
              <w:jc w:val="right"/>
              <w:rPr>
                <w:sz w:val="14"/>
              </w:rPr>
            </w:pPr>
            <w:r>
              <w:rPr>
                <w:sz w:val="14"/>
              </w:rPr>
              <w:t>372,00</w:t>
            </w:r>
          </w:p>
        </w:tc>
        <w:tc>
          <w:tcPr>
            <w:tcW w:w="1006" w:type="dxa"/>
          </w:tcPr>
          <w:p>
            <w:pPr>
              <w:pStyle w:val="TableParagraph"/>
              <w:spacing w:line="154" w:lineRule="exact"/>
              <w:ind w:right="63"/>
              <w:jc w:val="right"/>
              <w:rPr>
                <w:sz w:val="14"/>
              </w:rPr>
            </w:pPr>
            <w:r>
              <w:rPr>
                <w:sz w:val="14"/>
              </w:rPr>
              <w:t>0,00</w:t>
            </w:r>
          </w:p>
        </w:tc>
        <w:tc>
          <w:tcPr>
            <w:tcW w:w="939" w:type="dxa"/>
          </w:tcPr>
          <w:p>
            <w:pPr>
              <w:pStyle w:val="TableParagraph"/>
              <w:spacing w:line="154" w:lineRule="exact"/>
              <w:ind w:right="63"/>
              <w:jc w:val="right"/>
              <w:rPr>
                <w:sz w:val="14"/>
              </w:rPr>
            </w:pPr>
            <w:r>
              <w:rPr>
                <w:sz w:val="14"/>
              </w:rPr>
              <w:t>372,00</w:t>
            </w:r>
          </w:p>
        </w:tc>
        <w:tc>
          <w:tcPr>
            <w:tcW w:w="881" w:type="dxa"/>
          </w:tcPr>
          <w:p>
            <w:pPr>
              <w:pStyle w:val="TableParagraph"/>
              <w:spacing w:line="154" w:lineRule="exact"/>
              <w:ind w:right="64"/>
              <w:jc w:val="right"/>
              <w:rPr>
                <w:sz w:val="14"/>
              </w:rPr>
            </w:pPr>
            <w:r>
              <w:rPr>
                <w:sz w:val="14"/>
              </w:rPr>
              <w:t>0,00</w:t>
            </w:r>
          </w:p>
        </w:tc>
      </w:tr>
      <w:tr>
        <w:trPr>
          <w:trHeight w:val="179" w:hRule="atLeast"/>
        </w:trPr>
        <w:tc>
          <w:tcPr>
            <w:tcW w:w="919" w:type="dxa"/>
          </w:tcPr>
          <w:p>
            <w:pPr>
              <w:pStyle w:val="TableParagraph"/>
              <w:spacing w:line="154" w:lineRule="exact" w:before="5"/>
              <w:ind w:right="59"/>
              <w:jc w:val="right"/>
              <w:rPr>
                <w:sz w:val="14"/>
              </w:rPr>
            </w:pPr>
            <w:r>
              <w:rPr>
                <w:w w:val="95"/>
                <w:sz w:val="14"/>
              </w:rPr>
              <w:t>21700007</w:t>
            </w:r>
          </w:p>
        </w:tc>
        <w:tc>
          <w:tcPr>
            <w:tcW w:w="2861" w:type="dxa"/>
          </w:tcPr>
          <w:p>
            <w:pPr>
              <w:pStyle w:val="TableParagraph"/>
              <w:spacing w:line="154" w:lineRule="exact" w:before="5"/>
              <w:ind w:left="69"/>
              <w:rPr>
                <w:sz w:val="14"/>
              </w:rPr>
            </w:pPr>
            <w:r>
              <w:rPr>
                <w:sz w:val="14"/>
              </w:rPr>
              <w:t>IMPRESORA MULTIFUNCION BROTHER</w:t>
            </w:r>
          </w:p>
        </w:tc>
        <w:tc>
          <w:tcPr>
            <w:tcW w:w="1001" w:type="dxa"/>
          </w:tcPr>
          <w:p>
            <w:pPr>
              <w:pStyle w:val="TableParagraph"/>
              <w:spacing w:line="154" w:lineRule="exact" w:before="5"/>
              <w:ind w:right="61"/>
              <w:jc w:val="right"/>
              <w:rPr>
                <w:sz w:val="14"/>
              </w:rPr>
            </w:pPr>
            <w:r>
              <w:rPr>
                <w:w w:val="95"/>
                <w:sz w:val="14"/>
              </w:rPr>
              <w:t>13/07/2016</w:t>
            </w:r>
          </w:p>
        </w:tc>
        <w:tc>
          <w:tcPr>
            <w:tcW w:w="579" w:type="dxa"/>
          </w:tcPr>
          <w:p>
            <w:pPr>
              <w:pStyle w:val="TableParagraph"/>
              <w:spacing w:line="154" w:lineRule="exact" w:before="5"/>
              <w:ind w:right="60"/>
              <w:jc w:val="right"/>
              <w:rPr>
                <w:sz w:val="14"/>
              </w:rPr>
            </w:pPr>
            <w:r>
              <w:rPr>
                <w:w w:val="95"/>
                <w:sz w:val="14"/>
              </w:rPr>
              <w:t>25,00</w:t>
            </w:r>
          </w:p>
        </w:tc>
        <w:tc>
          <w:tcPr>
            <w:tcW w:w="862" w:type="dxa"/>
          </w:tcPr>
          <w:p>
            <w:pPr>
              <w:pStyle w:val="TableParagraph"/>
              <w:spacing w:line="154" w:lineRule="exact" w:before="5"/>
              <w:ind w:right="62"/>
              <w:jc w:val="right"/>
              <w:rPr>
                <w:sz w:val="14"/>
              </w:rPr>
            </w:pPr>
            <w:r>
              <w:rPr>
                <w:sz w:val="14"/>
              </w:rPr>
              <w:t>149,00</w:t>
            </w:r>
          </w:p>
        </w:tc>
        <w:tc>
          <w:tcPr>
            <w:tcW w:w="1006" w:type="dxa"/>
          </w:tcPr>
          <w:p>
            <w:pPr>
              <w:pStyle w:val="TableParagraph"/>
              <w:spacing w:line="154" w:lineRule="exact" w:before="5"/>
              <w:ind w:right="63"/>
              <w:jc w:val="right"/>
              <w:rPr>
                <w:sz w:val="14"/>
              </w:rPr>
            </w:pPr>
            <w:r>
              <w:rPr>
                <w:sz w:val="14"/>
              </w:rPr>
              <w:t>0,00</w:t>
            </w:r>
          </w:p>
        </w:tc>
        <w:tc>
          <w:tcPr>
            <w:tcW w:w="939" w:type="dxa"/>
          </w:tcPr>
          <w:p>
            <w:pPr>
              <w:pStyle w:val="TableParagraph"/>
              <w:spacing w:line="154" w:lineRule="exact" w:before="5"/>
              <w:ind w:right="63"/>
              <w:jc w:val="right"/>
              <w:rPr>
                <w:sz w:val="14"/>
              </w:rPr>
            </w:pPr>
            <w:r>
              <w:rPr>
                <w:sz w:val="14"/>
              </w:rPr>
              <w:t>149,00</w:t>
            </w:r>
          </w:p>
        </w:tc>
        <w:tc>
          <w:tcPr>
            <w:tcW w:w="881" w:type="dxa"/>
          </w:tcPr>
          <w:p>
            <w:pPr>
              <w:pStyle w:val="TableParagraph"/>
              <w:spacing w:line="154" w:lineRule="exact" w:before="5"/>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21700008</w:t>
            </w:r>
          </w:p>
        </w:tc>
        <w:tc>
          <w:tcPr>
            <w:tcW w:w="2861" w:type="dxa"/>
          </w:tcPr>
          <w:p>
            <w:pPr>
              <w:pStyle w:val="TableParagraph"/>
              <w:spacing w:line="151" w:lineRule="exact"/>
              <w:ind w:left="69"/>
              <w:rPr>
                <w:sz w:val="14"/>
              </w:rPr>
            </w:pPr>
            <w:r>
              <w:rPr>
                <w:sz w:val="14"/>
              </w:rPr>
              <w:t>MINICADENA PANASONIC SC-PMX80</w:t>
            </w:r>
          </w:p>
        </w:tc>
        <w:tc>
          <w:tcPr>
            <w:tcW w:w="1001" w:type="dxa"/>
          </w:tcPr>
          <w:p>
            <w:pPr>
              <w:pStyle w:val="TableParagraph"/>
              <w:spacing w:line="151" w:lineRule="exact"/>
              <w:ind w:right="61"/>
              <w:jc w:val="right"/>
              <w:rPr>
                <w:sz w:val="14"/>
              </w:rPr>
            </w:pPr>
            <w:r>
              <w:rPr>
                <w:w w:val="95"/>
                <w:sz w:val="14"/>
              </w:rPr>
              <w:t>15/11/2018</w:t>
            </w:r>
          </w:p>
        </w:tc>
        <w:tc>
          <w:tcPr>
            <w:tcW w:w="579" w:type="dxa"/>
          </w:tcPr>
          <w:p>
            <w:pPr>
              <w:pStyle w:val="TableParagraph"/>
              <w:spacing w:line="151" w:lineRule="exact"/>
              <w:ind w:right="60"/>
              <w:jc w:val="right"/>
              <w:rPr>
                <w:sz w:val="14"/>
              </w:rPr>
            </w:pPr>
            <w:r>
              <w:rPr>
                <w:w w:val="95"/>
                <w:sz w:val="14"/>
              </w:rPr>
              <w:t>25,00</w:t>
            </w:r>
          </w:p>
        </w:tc>
        <w:tc>
          <w:tcPr>
            <w:tcW w:w="862" w:type="dxa"/>
          </w:tcPr>
          <w:p>
            <w:pPr>
              <w:pStyle w:val="TableParagraph"/>
              <w:spacing w:line="151" w:lineRule="exact"/>
              <w:ind w:right="62"/>
              <w:jc w:val="right"/>
              <w:rPr>
                <w:sz w:val="14"/>
              </w:rPr>
            </w:pPr>
            <w:r>
              <w:rPr>
                <w:sz w:val="14"/>
              </w:rPr>
              <w:t>229,00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229,00</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21700009</w:t>
            </w:r>
          </w:p>
        </w:tc>
        <w:tc>
          <w:tcPr>
            <w:tcW w:w="2861" w:type="dxa"/>
          </w:tcPr>
          <w:p>
            <w:pPr>
              <w:pStyle w:val="TableParagraph"/>
              <w:spacing w:line="151" w:lineRule="exact"/>
              <w:ind w:left="69"/>
              <w:rPr>
                <w:sz w:val="14"/>
              </w:rPr>
            </w:pPr>
            <w:r>
              <w:rPr>
                <w:sz w:val="14"/>
              </w:rPr>
              <w:t>SMARPHONE XIAOMI REDMI</w:t>
            </w:r>
          </w:p>
        </w:tc>
        <w:tc>
          <w:tcPr>
            <w:tcW w:w="1001" w:type="dxa"/>
          </w:tcPr>
          <w:p>
            <w:pPr>
              <w:pStyle w:val="TableParagraph"/>
              <w:spacing w:line="151" w:lineRule="exact"/>
              <w:ind w:right="61"/>
              <w:jc w:val="right"/>
              <w:rPr>
                <w:sz w:val="14"/>
              </w:rPr>
            </w:pPr>
            <w:r>
              <w:rPr>
                <w:w w:val="95"/>
                <w:sz w:val="14"/>
              </w:rPr>
              <w:t>13/03/2019</w:t>
            </w:r>
          </w:p>
        </w:tc>
        <w:tc>
          <w:tcPr>
            <w:tcW w:w="579" w:type="dxa"/>
          </w:tcPr>
          <w:p>
            <w:pPr>
              <w:pStyle w:val="TableParagraph"/>
              <w:spacing w:line="151" w:lineRule="exact"/>
              <w:ind w:right="60"/>
              <w:jc w:val="right"/>
              <w:rPr>
                <w:sz w:val="14"/>
              </w:rPr>
            </w:pPr>
            <w:r>
              <w:rPr>
                <w:w w:val="95"/>
                <w:sz w:val="14"/>
              </w:rPr>
              <w:t>25,00</w:t>
            </w:r>
          </w:p>
        </w:tc>
        <w:tc>
          <w:tcPr>
            <w:tcW w:w="862" w:type="dxa"/>
          </w:tcPr>
          <w:p>
            <w:pPr>
              <w:pStyle w:val="TableParagraph"/>
              <w:spacing w:line="151" w:lineRule="exact"/>
              <w:ind w:right="62"/>
              <w:jc w:val="right"/>
              <w:rPr>
                <w:sz w:val="14"/>
              </w:rPr>
            </w:pPr>
            <w:r>
              <w:rPr>
                <w:sz w:val="14"/>
              </w:rPr>
              <w:t>139,00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139,00</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21700010</w:t>
            </w:r>
          </w:p>
        </w:tc>
        <w:tc>
          <w:tcPr>
            <w:tcW w:w="2861" w:type="dxa"/>
          </w:tcPr>
          <w:p>
            <w:pPr>
              <w:pStyle w:val="TableParagraph"/>
              <w:spacing w:line="151" w:lineRule="exact"/>
              <w:ind w:left="69"/>
              <w:rPr>
                <w:sz w:val="14"/>
              </w:rPr>
            </w:pPr>
            <w:r>
              <w:rPr>
                <w:sz w:val="14"/>
              </w:rPr>
              <w:t>SMARTPHONE XIAOMI REDMI</w:t>
            </w:r>
          </w:p>
        </w:tc>
        <w:tc>
          <w:tcPr>
            <w:tcW w:w="1001" w:type="dxa"/>
          </w:tcPr>
          <w:p>
            <w:pPr>
              <w:pStyle w:val="TableParagraph"/>
              <w:spacing w:line="151" w:lineRule="exact"/>
              <w:ind w:right="61"/>
              <w:jc w:val="right"/>
              <w:rPr>
                <w:sz w:val="14"/>
              </w:rPr>
            </w:pPr>
            <w:r>
              <w:rPr>
                <w:w w:val="95"/>
                <w:sz w:val="14"/>
              </w:rPr>
              <w:t>13/03/2019</w:t>
            </w:r>
          </w:p>
        </w:tc>
        <w:tc>
          <w:tcPr>
            <w:tcW w:w="579" w:type="dxa"/>
          </w:tcPr>
          <w:p>
            <w:pPr>
              <w:pStyle w:val="TableParagraph"/>
              <w:spacing w:line="151" w:lineRule="exact"/>
              <w:ind w:right="60"/>
              <w:jc w:val="right"/>
              <w:rPr>
                <w:sz w:val="14"/>
              </w:rPr>
            </w:pPr>
            <w:r>
              <w:rPr>
                <w:w w:val="95"/>
                <w:sz w:val="14"/>
              </w:rPr>
              <w:t>25,00</w:t>
            </w:r>
          </w:p>
        </w:tc>
        <w:tc>
          <w:tcPr>
            <w:tcW w:w="862" w:type="dxa"/>
          </w:tcPr>
          <w:p>
            <w:pPr>
              <w:pStyle w:val="TableParagraph"/>
              <w:spacing w:line="151" w:lineRule="exact"/>
              <w:ind w:right="62"/>
              <w:jc w:val="right"/>
              <w:rPr>
                <w:sz w:val="14"/>
              </w:rPr>
            </w:pPr>
            <w:r>
              <w:rPr>
                <w:sz w:val="14"/>
              </w:rPr>
              <w:t>139,00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139,00</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21700011</w:t>
            </w:r>
          </w:p>
        </w:tc>
        <w:tc>
          <w:tcPr>
            <w:tcW w:w="2861" w:type="dxa"/>
          </w:tcPr>
          <w:p>
            <w:pPr>
              <w:pStyle w:val="TableParagraph"/>
              <w:spacing w:line="151" w:lineRule="exact"/>
              <w:ind w:left="69"/>
              <w:rPr>
                <w:sz w:val="14"/>
              </w:rPr>
            </w:pPr>
            <w:r>
              <w:rPr>
                <w:sz w:val="14"/>
              </w:rPr>
              <w:t>MONITOR LG 22"</w:t>
            </w:r>
          </w:p>
        </w:tc>
        <w:tc>
          <w:tcPr>
            <w:tcW w:w="1001" w:type="dxa"/>
          </w:tcPr>
          <w:p>
            <w:pPr>
              <w:pStyle w:val="TableParagraph"/>
              <w:spacing w:line="151" w:lineRule="exact"/>
              <w:ind w:right="61"/>
              <w:jc w:val="right"/>
              <w:rPr>
                <w:sz w:val="14"/>
              </w:rPr>
            </w:pPr>
            <w:r>
              <w:rPr>
                <w:w w:val="95"/>
                <w:sz w:val="14"/>
              </w:rPr>
              <w:t>13/03/2019</w:t>
            </w:r>
          </w:p>
        </w:tc>
        <w:tc>
          <w:tcPr>
            <w:tcW w:w="579" w:type="dxa"/>
          </w:tcPr>
          <w:p>
            <w:pPr>
              <w:pStyle w:val="TableParagraph"/>
              <w:spacing w:line="151" w:lineRule="exact"/>
              <w:ind w:right="60"/>
              <w:jc w:val="right"/>
              <w:rPr>
                <w:sz w:val="14"/>
              </w:rPr>
            </w:pPr>
            <w:r>
              <w:rPr>
                <w:w w:val="95"/>
                <w:sz w:val="14"/>
              </w:rPr>
              <w:t>25,00</w:t>
            </w:r>
          </w:p>
        </w:tc>
        <w:tc>
          <w:tcPr>
            <w:tcW w:w="862" w:type="dxa"/>
          </w:tcPr>
          <w:p>
            <w:pPr>
              <w:pStyle w:val="TableParagraph"/>
              <w:spacing w:line="151" w:lineRule="exact"/>
              <w:ind w:right="62"/>
              <w:jc w:val="right"/>
              <w:rPr>
                <w:sz w:val="14"/>
              </w:rPr>
            </w:pPr>
            <w:r>
              <w:rPr>
                <w:sz w:val="14"/>
              </w:rPr>
              <w:t>109,00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109,00</w:t>
            </w:r>
          </w:p>
        </w:tc>
        <w:tc>
          <w:tcPr>
            <w:tcW w:w="881" w:type="dxa"/>
          </w:tcPr>
          <w:p>
            <w:pPr>
              <w:pStyle w:val="TableParagraph"/>
              <w:spacing w:line="151" w:lineRule="exact"/>
              <w:ind w:right="64"/>
              <w:jc w:val="right"/>
              <w:rPr>
                <w:sz w:val="14"/>
              </w:rPr>
            </w:pPr>
            <w:r>
              <w:rPr>
                <w:sz w:val="14"/>
              </w:rPr>
              <w:t>0,00</w:t>
            </w:r>
          </w:p>
        </w:tc>
      </w:tr>
      <w:tr>
        <w:trPr>
          <w:trHeight w:val="182" w:hRule="atLeast"/>
        </w:trPr>
        <w:tc>
          <w:tcPr>
            <w:tcW w:w="919" w:type="dxa"/>
          </w:tcPr>
          <w:p>
            <w:pPr>
              <w:pStyle w:val="TableParagraph"/>
              <w:spacing w:line="154" w:lineRule="exact"/>
              <w:ind w:right="59"/>
              <w:jc w:val="right"/>
              <w:rPr>
                <w:sz w:val="14"/>
              </w:rPr>
            </w:pPr>
            <w:r>
              <w:rPr>
                <w:w w:val="95"/>
                <w:sz w:val="14"/>
              </w:rPr>
              <w:t>21700012</w:t>
            </w:r>
          </w:p>
        </w:tc>
        <w:tc>
          <w:tcPr>
            <w:tcW w:w="2861" w:type="dxa"/>
          </w:tcPr>
          <w:p>
            <w:pPr>
              <w:pStyle w:val="TableParagraph"/>
              <w:spacing w:line="154" w:lineRule="exact"/>
              <w:ind w:left="69"/>
              <w:rPr>
                <w:sz w:val="14"/>
              </w:rPr>
            </w:pPr>
            <w:r>
              <w:rPr>
                <w:sz w:val="14"/>
              </w:rPr>
              <w:t>MONITOR 22"</w:t>
            </w:r>
          </w:p>
        </w:tc>
        <w:tc>
          <w:tcPr>
            <w:tcW w:w="1001" w:type="dxa"/>
          </w:tcPr>
          <w:p>
            <w:pPr>
              <w:pStyle w:val="TableParagraph"/>
              <w:spacing w:line="154" w:lineRule="exact"/>
              <w:ind w:right="61"/>
              <w:jc w:val="right"/>
              <w:rPr>
                <w:sz w:val="14"/>
              </w:rPr>
            </w:pPr>
            <w:r>
              <w:rPr>
                <w:w w:val="95"/>
                <w:sz w:val="14"/>
              </w:rPr>
              <w:t>13/03/2019</w:t>
            </w:r>
          </w:p>
        </w:tc>
        <w:tc>
          <w:tcPr>
            <w:tcW w:w="579" w:type="dxa"/>
          </w:tcPr>
          <w:p>
            <w:pPr>
              <w:pStyle w:val="TableParagraph"/>
              <w:spacing w:line="154" w:lineRule="exact"/>
              <w:ind w:right="60"/>
              <w:jc w:val="right"/>
              <w:rPr>
                <w:sz w:val="14"/>
              </w:rPr>
            </w:pPr>
            <w:r>
              <w:rPr>
                <w:w w:val="95"/>
                <w:sz w:val="14"/>
              </w:rPr>
              <w:t>25,00</w:t>
            </w:r>
          </w:p>
        </w:tc>
        <w:tc>
          <w:tcPr>
            <w:tcW w:w="862" w:type="dxa"/>
          </w:tcPr>
          <w:p>
            <w:pPr>
              <w:pStyle w:val="TableParagraph"/>
              <w:spacing w:line="154" w:lineRule="exact"/>
              <w:ind w:right="62"/>
              <w:jc w:val="right"/>
              <w:rPr>
                <w:sz w:val="14"/>
              </w:rPr>
            </w:pPr>
            <w:r>
              <w:rPr>
                <w:sz w:val="14"/>
              </w:rPr>
              <w:t>109,00</w:t>
            </w:r>
          </w:p>
        </w:tc>
        <w:tc>
          <w:tcPr>
            <w:tcW w:w="1006" w:type="dxa"/>
          </w:tcPr>
          <w:p>
            <w:pPr>
              <w:pStyle w:val="TableParagraph"/>
              <w:spacing w:line="154" w:lineRule="exact"/>
              <w:ind w:right="63"/>
              <w:jc w:val="right"/>
              <w:rPr>
                <w:sz w:val="14"/>
              </w:rPr>
            </w:pPr>
            <w:r>
              <w:rPr>
                <w:sz w:val="14"/>
              </w:rPr>
              <w:t>0,00</w:t>
            </w:r>
          </w:p>
        </w:tc>
        <w:tc>
          <w:tcPr>
            <w:tcW w:w="939" w:type="dxa"/>
          </w:tcPr>
          <w:p>
            <w:pPr>
              <w:pStyle w:val="TableParagraph"/>
              <w:spacing w:line="154" w:lineRule="exact"/>
              <w:ind w:right="63"/>
              <w:jc w:val="right"/>
              <w:rPr>
                <w:sz w:val="14"/>
              </w:rPr>
            </w:pPr>
            <w:r>
              <w:rPr>
                <w:sz w:val="14"/>
              </w:rPr>
              <w:t>109,00</w:t>
            </w:r>
          </w:p>
        </w:tc>
        <w:tc>
          <w:tcPr>
            <w:tcW w:w="881" w:type="dxa"/>
          </w:tcPr>
          <w:p>
            <w:pPr>
              <w:pStyle w:val="TableParagraph"/>
              <w:spacing w:line="154" w:lineRule="exact"/>
              <w:ind w:right="64"/>
              <w:jc w:val="right"/>
              <w:rPr>
                <w:sz w:val="14"/>
              </w:rPr>
            </w:pPr>
            <w:r>
              <w:rPr>
                <w:sz w:val="14"/>
              </w:rPr>
              <w:t>0,00</w:t>
            </w:r>
          </w:p>
        </w:tc>
      </w:tr>
      <w:tr>
        <w:trPr>
          <w:trHeight w:val="179" w:hRule="atLeast"/>
        </w:trPr>
        <w:tc>
          <w:tcPr>
            <w:tcW w:w="919" w:type="dxa"/>
          </w:tcPr>
          <w:p>
            <w:pPr>
              <w:pStyle w:val="TableParagraph"/>
              <w:spacing w:line="154" w:lineRule="exact" w:before="5"/>
              <w:ind w:right="59"/>
              <w:jc w:val="right"/>
              <w:rPr>
                <w:sz w:val="14"/>
              </w:rPr>
            </w:pPr>
            <w:r>
              <w:rPr>
                <w:w w:val="95"/>
                <w:sz w:val="14"/>
              </w:rPr>
              <w:t>21700013</w:t>
            </w:r>
          </w:p>
        </w:tc>
        <w:tc>
          <w:tcPr>
            <w:tcW w:w="2861" w:type="dxa"/>
          </w:tcPr>
          <w:p>
            <w:pPr>
              <w:pStyle w:val="TableParagraph"/>
              <w:spacing w:line="154" w:lineRule="exact" w:before="5"/>
              <w:ind w:left="69"/>
              <w:rPr>
                <w:sz w:val="14"/>
              </w:rPr>
            </w:pPr>
            <w:r>
              <w:rPr>
                <w:sz w:val="14"/>
              </w:rPr>
              <w:t>2 ORDENADORES AMD RYZE 3 3200</w:t>
            </w:r>
          </w:p>
        </w:tc>
        <w:tc>
          <w:tcPr>
            <w:tcW w:w="1001" w:type="dxa"/>
          </w:tcPr>
          <w:p>
            <w:pPr>
              <w:pStyle w:val="TableParagraph"/>
              <w:spacing w:line="154" w:lineRule="exact" w:before="5"/>
              <w:ind w:right="61"/>
              <w:jc w:val="right"/>
              <w:rPr>
                <w:sz w:val="14"/>
              </w:rPr>
            </w:pPr>
            <w:r>
              <w:rPr>
                <w:w w:val="95"/>
                <w:sz w:val="14"/>
              </w:rPr>
              <w:t>29/06/2021</w:t>
            </w:r>
          </w:p>
        </w:tc>
        <w:tc>
          <w:tcPr>
            <w:tcW w:w="579" w:type="dxa"/>
          </w:tcPr>
          <w:p>
            <w:pPr>
              <w:pStyle w:val="TableParagraph"/>
              <w:spacing w:line="154" w:lineRule="exact" w:before="5"/>
              <w:ind w:right="60"/>
              <w:jc w:val="right"/>
              <w:rPr>
                <w:sz w:val="14"/>
              </w:rPr>
            </w:pPr>
            <w:r>
              <w:rPr>
                <w:w w:val="95"/>
                <w:sz w:val="14"/>
              </w:rPr>
              <w:t>25,00</w:t>
            </w:r>
          </w:p>
        </w:tc>
        <w:tc>
          <w:tcPr>
            <w:tcW w:w="862" w:type="dxa"/>
          </w:tcPr>
          <w:p>
            <w:pPr>
              <w:pStyle w:val="TableParagraph"/>
              <w:spacing w:line="154" w:lineRule="exact" w:before="5"/>
              <w:ind w:right="62"/>
              <w:jc w:val="right"/>
              <w:rPr>
                <w:sz w:val="14"/>
              </w:rPr>
            </w:pPr>
            <w:r>
              <w:rPr>
                <w:w w:val="95"/>
                <w:sz w:val="14"/>
              </w:rPr>
              <w:t>1.018,00</w:t>
            </w:r>
          </w:p>
        </w:tc>
        <w:tc>
          <w:tcPr>
            <w:tcW w:w="1006" w:type="dxa"/>
          </w:tcPr>
          <w:p>
            <w:pPr>
              <w:pStyle w:val="TableParagraph"/>
              <w:spacing w:line="154" w:lineRule="exact" w:before="5"/>
              <w:ind w:right="63"/>
              <w:jc w:val="right"/>
              <w:rPr>
                <w:sz w:val="14"/>
              </w:rPr>
            </w:pPr>
            <w:r>
              <w:rPr>
                <w:sz w:val="14"/>
              </w:rPr>
              <w:t>254,50</w:t>
            </w:r>
          </w:p>
        </w:tc>
        <w:tc>
          <w:tcPr>
            <w:tcW w:w="939" w:type="dxa"/>
          </w:tcPr>
          <w:p>
            <w:pPr>
              <w:pStyle w:val="TableParagraph"/>
              <w:spacing w:line="154" w:lineRule="exact" w:before="5"/>
              <w:ind w:right="63"/>
              <w:jc w:val="right"/>
              <w:rPr>
                <w:sz w:val="14"/>
              </w:rPr>
            </w:pPr>
            <w:r>
              <w:rPr>
                <w:sz w:val="14"/>
              </w:rPr>
              <w:t>890,80</w:t>
            </w:r>
          </w:p>
        </w:tc>
        <w:tc>
          <w:tcPr>
            <w:tcW w:w="881" w:type="dxa"/>
          </w:tcPr>
          <w:p>
            <w:pPr>
              <w:pStyle w:val="TableParagraph"/>
              <w:spacing w:line="154" w:lineRule="exact" w:before="5"/>
              <w:ind w:right="64"/>
              <w:jc w:val="right"/>
              <w:rPr>
                <w:sz w:val="14"/>
              </w:rPr>
            </w:pPr>
            <w:r>
              <w:rPr>
                <w:sz w:val="14"/>
              </w:rPr>
              <w:t>381,70</w:t>
            </w:r>
          </w:p>
        </w:tc>
      </w:tr>
      <w:tr>
        <w:trPr>
          <w:trHeight w:val="179" w:hRule="atLeast"/>
        </w:trPr>
        <w:tc>
          <w:tcPr>
            <w:tcW w:w="919" w:type="dxa"/>
          </w:tcPr>
          <w:p>
            <w:pPr>
              <w:pStyle w:val="TableParagraph"/>
              <w:spacing w:line="151" w:lineRule="exact"/>
              <w:ind w:right="59"/>
              <w:jc w:val="right"/>
              <w:rPr>
                <w:sz w:val="14"/>
              </w:rPr>
            </w:pPr>
            <w:r>
              <w:rPr>
                <w:w w:val="95"/>
                <w:sz w:val="14"/>
              </w:rPr>
              <w:t>21700014</w:t>
            </w:r>
          </w:p>
        </w:tc>
        <w:tc>
          <w:tcPr>
            <w:tcW w:w="2861" w:type="dxa"/>
          </w:tcPr>
          <w:p>
            <w:pPr>
              <w:pStyle w:val="TableParagraph"/>
              <w:spacing w:line="151" w:lineRule="exact"/>
              <w:ind w:left="69"/>
              <w:rPr>
                <w:sz w:val="14"/>
              </w:rPr>
            </w:pPr>
            <w:r>
              <w:rPr>
                <w:sz w:val="14"/>
              </w:rPr>
              <w:t>ORDENADOR ASUS MI502YA</w:t>
            </w:r>
          </w:p>
        </w:tc>
        <w:tc>
          <w:tcPr>
            <w:tcW w:w="1001" w:type="dxa"/>
          </w:tcPr>
          <w:p>
            <w:pPr>
              <w:pStyle w:val="TableParagraph"/>
              <w:spacing w:line="151" w:lineRule="exact"/>
              <w:ind w:right="61"/>
              <w:jc w:val="right"/>
              <w:rPr>
                <w:sz w:val="14"/>
              </w:rPr>
            </w:pPr>
            <w:r>
              <w:rPr>
                <w:w w:val="95"/>
                <w:sz w:val="14"/>
              </w:rPr>
              <w:t>02/04/2024</w:t>
            </w:r>
          </w:p>
        </w:tc>
        <w:tc>
          <w:tcPr>
            <w:tcW w:w="579" w:type="dxa"/>
          </w:tcPr>
          <w:p>
            <w:pPr>
              <w:pStyle w:val="TableParagraph"/>
              <w:spacing w:line="151" w:lineRule="exact"/>
              <w:ind w:right="60"/>
              <w:jc w:val="right"/>
              <w:rPr>
                <w:sz w:val="14"/>
              </w:rPr>
            </w:pPr>
            <w:r>
              <w:rPr>
                <w:w w:val="95"/>
                <w:sz w:val="14"/>
              </w:rPr>
              <w:t>25,00</w:t>
            </w:r>
          </w:p>
        </w:tc>
        <w:tc>
          <w:tcPr>
            <w:tcW w:w="862" w:type="dxa"/>
          </w:tcPr>
          <w:p>
            <w:pPr>
              <w:pStyle w:val="TableParagraph"/>
              <w:spacing w:line="151" w:lineRule="exact"/>
              <w:ind w:right="62"/>
              <w:jc w:val="right"/>
              <w:rPr>
                <w:sz w:val="14"/>
              </w:rPr>
            </w:pPr>
            <w:r>
              <w:rPr>
                <w:sz w:val="14"/>
              </w:rPr>
              <w:t>729,00</w:t>
            </w:r>
          </w:p>
        </w:tc>
        <w:tc>
          <w:tcPr>
            <w:tcW w:w="1006" w:type="dxa"/>
          </w:tcPr>
          <w:p>
            <w:pPr>
              <w:pStyle w:val="TableParagraph"/>
              <w:spacing w:line="151" w:lineRule="exact"/>
              <w:ind w:right="63"/>
              <w:jc w:val="right"/>
              <w:rPr>
                <w:sz w:val="14"/>
              </w:rPr>
            </w:pPr>
            <w:r>
              <w:rPr>
                <w:sz w:val="14"/>
              </w:rPr>
              <w:t>136,69</w:t>
            </w:r>
          </w:p>
        </w:tc>
        <w:tc>
          <w:tcPr>
            <w:tcW w:w="939" w:type="dxa"/>
          </w:tcPr>
          <w:p>
            <w:pPr>
              <w:pStyle w:val="TableParagraph"/>
              <w:spacing w:line="151" w:lineRule="exact"/>
              <w:ind w:right="63"/>
              <w:jc w:val="right"/>
              <w:rPr>
                <w:sz w:val="14"/>
              </w:rPr>
            </w:pPr>
            <w:r>
              <w:rPr>
                <w:sz w:val="14"/>
              </w:rPr>
              <w:t>136,69</w:t>
            </w:r>
          </w:p>
        </w:tc>
        <w:tc>
          <w:tcPr>
            <w:tcW w:w="881" w:type="dxa"/>
          </w:tcPr>
          <w:p>
            <w:pPr>
              <w:pStyle w:val="TableParagraph"/>
              <w:spacing w:line="151" w:lineRule="exact"/>
              <w:ind w:right="64"/>
              <w:jc w:val="right"/>
              <w:rPr>
                <w:sz w:val="14"/>
              </w:rPr>
            </w:pPr>
            <w:r>
              <w:rPr>
                <w:sz w:val="14"/>
              </w:rPr>
              <w:t>592,31</w:t>
            </w:r>
          </w:p>
        </w:tc>
      </w:tr>
      <w:tr>
        <w:trPr>
          <w:trHeight w:val="179" w:hRule="atLeast"/>
        </w:trPr>
        <w:tc>
          <w:tcPr>
            <w:tcW w:w="919" w:type="dxa"/>
          </w:tcPr>
          <w:p>
            <w:pPr>
              <w:pStyle w:val="TableParagraph"/>
              <w:spacing w:line="151" w:lineRule="exact"/>
              <w:ind w:right="59"/>
              <w:jc w:val="right"/>
              <w:rPr>
                <w:sz w:val="14"/>
              </w:rPr>
            </w:pPr>
            <w:r>
              <w:rPr>
                <w:w w:val="95"/>
                <w:sz w:val="14"/>
              </w:rPr>
              <w:t>21700015</w:t>
            </w:r>
          </w:p>
        </w:tc>
        <w:tc>
          <w:tcPr>
            <w:tcW w:w="4441" w:type="dxa"/>
            <w:gridSpan w:val="3"/>
          </w:tcPr>
          <w:p>
            <w:pPr>
              <w:pStyle w:val="TableParagraph"/>
              <w:tabs>
                <w:tab w:pos="3112" w:val="left" w:leader="none"/>
                <w:tab w:pos="4051" w:val="left" w:leader="none"/>
              </w:tabs>
              <w:spacing w:line="151" w:lineRule="exact"/>
              <w:ind w:left="69"/>
              <w:rPr>
                <w:sz w:val="14"/>
              </w:rPr>
            </w:pPr>
            <w:r>
              <w:rPr>
                <w:sz w:val="14"/>
              </w:rPr>
              <w:t>IM C300</w:t>
            </w:r>
            <w:r>
              <w:rPr>
                <w:spacing w:val="-5"/>
                <w:sz w:val="14"/>
              </w:rPr>
              <w:t> </w:t>
            </w:r>
            <w:r>
              <w:rPr>
                <w:sz w:val="14"/>
              </w:rPr>
              <w:t>MULTIFUNCION</w:t>
            </w:r>
            <w:r>
              <w:rPr>
                <w:spacing w:val="-3"/>
                <w:sz w:val="14"/>
              </w:rPr>
              <w:t> </w:t>
            </w:r>
            <w:r>
              <w:rPr>
                <w:sz w:val="14"/>
              </w:rPr>
              <w:t>COLOR-RICO</w:t>
            </w:r>
            <w:r>
              <w:rPr>
                <w:rFonts w:ascii="Times New Roman"/>
                <w:sz w:val="14"/>
              </w:rPr>
              <w:tab/>
            </w:r>
            <w:r>
              <w:rPr>
                <w:sz w:val="14"/>
              </w:rPr>
              <w:t>19/12/2024</w:t>
            </w:r>
            <w:r>
              <w:rPr>
                <w:rFonts w:ascii="Times New Roman"/>
                <w:sz w:val="14"/>
              </w:rPr>
              <w:tab/>
            </w:r>
            <w:r>
              <w:rPr>
                <w:sz w:val="14"/>
              </w:rPr>
              <w:t>25,00</w:t>
            </w:r>
          </w:p>
        </w:tc>
        <w:tc>
          <w:tcPr>
            <w:tcW w:w="862" w:type="dxa"/>
          </w:tcPr>
          <w:p>
            <w:pPr>
              <w:pStyle w:val="TableParagraph"/>
              <w:spacing w:line="151" w:lineRule="exact"/>
              <w:ind w:right="62"/>
              <w:jc w:val="right"/>
              <w:rPr>
                <w:sz w:val="14"/>
              </w:rPr>
            </w:pPr>
            <w:r>
              <w:rPr>
                <w:w w:val="95"/>
                <w:sz w:val="14"/>
              </w:rPr>
              <w:t>1.800,00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0,00</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before="0"/>
              <w:rPr>
                <w:rFonts w:ascii="Times New Roman"/>
                <w:sz w:val="12"/>
              </w:rPr>
            </w:pPr>
          </w:p>
        </w:tc>
        <w:tc>
          <w:tcPr>
            <w:tcW w:w="4441" w:type="dxa"/>
            <w:gridSpan w:val="3"/>
          </w:tcPr>
          <w:p>
            <w:pPr>
              <w:pStyle w:val="TableParagraph"/>
              <w:spacing w:line="151" w:lineRule="exact"/>
              <w:ind w:left="703"/>
              <w:rPr>
                <w:b/>
                <w:sz w:val="14"/>
              </w:rPr>
            </w:pPr>
            <w:r>
              <w:rPr>
                <w:b/>
                <w:sz w:val="14"/>
              </w:rPr>
              <w:t>TOTAL EQUIPOS PARA PROCESOS DE INFORMACIÓN</w:t>
            </w:r>
          </w:p>
        </w:tc>
        <w:tc>
          <w:tcPr>
            <w:tcW w:w="862" w:type="dxa"/>
          </w:tcPr>
          <w:p>
            <w:pPr>
              <w:pStyle w:val="TableParagraph"/>
              <w:spacing w:line="151" w:lineRule="exact"/>
              <w:ind w:right="62"/>
              <w:jc w:val="right"/>
              <w:rPr>
                <w:b/>
                <w:sz w:val="14"/>
              </w:rPr>
            </w:pPr>
            <w:r>
              <w:rPr>
                <w:b/>
                <w:w w:val="95"/>
                <w:sz w:val="14"/>
              </w:rPr>
              <w:t>7.512,88</w:t>
            </w:r>
          </w:p>
        </w:tc>
        <w:tc>
          <w:tcPr>
            <w:tcW w:w="1006" w:type="dxa"/>
          </w:tcPr>
          <w:p>
            <w:pPr>
              <w:pStyle w:val="TableParagraph"/>
              <w:spacing w:line="151" w:lineRule="exact"/>
              <w:ind w:right="63"/>
              <w:jc w:val="right"/>
              <w:rPr>
                <w:b/>
                <w:sz w:val="14"/>
              </w:rPr>
            </w:pPr>
            <w:r>
              <w:rPr>
                <w:b/>
                <w:w w:val="95"/>
                <w:sz w:val="14"/>
              </w:rPr>
              <w:t>391,19</w:t>
            </w:r>
          </w:p>
        </w:tc>
        <w:tc>
          <w:tcPr>
            <w:tcW w:w="939" w:type="dxa"/>
          </w:tcPr>
          <w:p>
            <w:pPr>
              <w:pStyle w:val="TableParagraph"/>
              <w:spacing w:line="151" w:lineRule="exact"/>
              <w:ind w:right="63"/>
              <w:jc w:val="right"/>
              <w:rPr>
                <w:b/>
                <w:sz w:val="14"/>
              </w:rPr>
            </w:pPr>
            <w:r>
              <w:rPr>
                <w:b/>
                <w:w w:val="95"/>
                <w:sz w:val="14"/>
              </w:rPr>
              <w:t>4.993,37</w:t>
            </w:r>
          </w:p>
        </w:tc>
        <w:tc>
          <w:tcPr>
            <w:tcW w:w="881" w:type="dxa"/>
          </w:tcPr>
          <w:p>
            <w:pPr>
              <w:pStyle w:val="TableParagraph"/>
              <w:spacing w:line="151" w:lineRule="exact"/>
              <w:ind w:right="64"/>
              <w:jc w:val="right"/>
              <w:rPr>
                <w:b/>
                <w:sz w:val="14"/>
              </w:rPr>
            </w:pPr>
            <w:r>
              <w:rPr>
                <w:b/>
                <w:w w:val="95"/>
                <w:sz w:val="14"/>
              </w:rPr>
              <w:t>974,01</w:t>
            </w:r>
          </w:p>
        </w:tc>
      </w:tr>
      <w:tr>
        <w:trPr>
          <w:trHeight w:val="179" w:hRule="atLeast"/>
        </w:trPr>
        <w:tc>
          <w:tcPr>
            <w:tcW w:w="919" w:type="dxa"/>
          </w:tcPr>
          <w:p>
            <w:pPr>
              <w:pStyle w:val="TableParagraph"/>
              <w:spacing w:line="151" w:lineRule="exact"/>
              <w:ind w:right="59"/>
              <w:jc w:val="right"/>
              <w:rPr>
                <w:sz w:val="14"/>
              </w:rPr>
            </w:pPr>
            <w:r>
              <w:rPr>
                <w:w w:val="95"/>
                <w:sz w:val="14"/>
              </w:rPr>
              <w:t>21900001</w:t>
            </w:r>
          </w:p>
        </w:tc>
        <w:tc>
          <w:tcPr>
            <w:tcW w:w="2861" w:type="dxa"/>
          </w:tcPr>
          <w:p>
            <w:pPr>
              <w:pStyle w:val="TableParagraph"/>
              <w:spacing w:line="151" w:lineRule="exact"/>
              <w:ind w:left="69"/>
              <w:rPr>
                <w:sz w:val="14"/>
              </w:rPr>
            </w:pPr>
            <w:r>
              <w:rPr>
                <w:sz w:val="14"/>
              </w:rPr>
              <w:t>PLACA PLACOPHONIQUE</w:t>
            </w:r>
          </w:p>
        </w:tc>
        <w:tc>
          <w:tcPr>
            <w:tcW w:w="1001" w:type="dxa"/>
          </w:tcPr>
          <w:p>
            <w:pPr>
              <w:pStyle w:val="TableParagraph"/>
              <w:spacing w:line="151" w:lineRule="exact"/>
              <w:ind w:right="61"/>
              <w:jc w:val="right"/>
              <w:rPr>
                <w:sz w:val="14"/>
              </w:rPr>
            </w:pPr>
            <w:r>
              <w:rPr>
                <w:w w:val="95"/>
                <w:sz w:val="14"/>
              </w:rPr>
              <w:t>21/09/2012</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w w:val="95"/>
                <w:sz w:val="14"/>
              </w:rPr>
              <w:t>1.744,68</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w w:val="95"/>
                <w:sz w:val="14"/>
              </w:rPr>
              <w:t>1.744,68</w:t>
            </w:r>
          </w:p>
        </w:tc>
        <w:tc>
          <w:tcPr>
            <w:tcW w:w="881" w:type="dxa"/>
          </w:tcPr>
          <w:p>
            <w:pPr>
              <w:pStyle w:val="TableParagraph"/>
              <w:spacing w:line="151" w:lineRule="exact"/>
              <w:ind w:right="64"/>
              <w:jc w:val="right"/>
              <w:rPr>
                <w:sz w:val="14"/>
              </w:rPr>
            </w:pPr>
            <w:r>
              <w:rPr>
                <w:sz w:val="14"/>
              </w:rPr>
              <w:t>0,00</w:t>
            </w:r>
          </w:p>
        </w:tc>
      </w:tr>
      <w:tr>
        <w:trPr>
          <w:trHeight w:val="182" w:hRule="atLeast"/>
        </w:trPr>
        <w:tc>
          <w:tcPr>
            <w:tcW w:w="919" w:type="dxa"/>
          </w:tcPr>
          <w:p>
            <w:pPr>
              <w:pStyle w:val="TableParagraph"/>
              <w:spacing w:line="154" w:lineRule="exact"/>
              <w:ind w:right="59"/>
              <w:jc w:val="right"/>
              <w:rPr>
                <w:sz w:val="14"/>
              </w:rPr>
            </w:pPr>
            <w:r>
              <w:rPr>
                <w:w w:val="95"/>
                <w:sz w:val="14"/>
              </w:rPr>
              <w:t>21900002</w:t>
            </w:r>
          </w:p>
        </w:tc>
        <w:tc>
          <w:tcPr>
            <w:tcW w:w="2861" w:type="dxa"/>
          </w:tcPr>
          <w:p>
            <w:pPr>
              <w:pStyle w:val="TableParagraph"/>
              <w:spacing w:line="154" w:lineRule="exact"/>
              <w:ind w:left="69"/>
              <w:rPr>
                <w:sz w:val="14"/>
              </w:rPr>
            </w:pPr>
            <w:r>
              <w:rPr>
                <w:sz w:val="14"/>
              </w:rPr>
              <w:t>PLACA PLACOPHONIQUE</w:t>
            </w:r>
          </w:p>
        </w:tc>
        <w:tc>
          <w:tcPr>
            <w:tcW w:w="1001" w:type="dxa"/>
          </w:tcPr>
          <w:p>
            <w:pPr>
              <w:pStyle w:val="TableParagraph"/>
              <w:spacing w:line="154" w:lineRule="exact"/>
              <w:ind w:right="61"/>
              <w:jc w:val="right"/>
              <w:rPr>
                <w:sz w:val="14"/>
              </w:rPr>
            </w:pPr>
            <w:r>
              <w:rPr>
                <w:w w:val="95"/>
                <w:sz w:val="14"/>
              </w:rPr>
              <w:t>20/11/2012</w:t>
            </w:r>
          </w:p>
        </w:tc>
        <w:tc>
          <w:tcPr>
            <w:tcW w:w="579" w:type="dxa"/>
          </w:tcPr>
          <w:p>
            <w:pPr>
              <w:pStyle w:val="TableParagraph"/>
              <w:spacing w:line="154" w:lineRule="exact"/>
              <w:ind w:right="60"/>
              <w:jc w:val="right"/>
              <w:rPr>
                <w:sz w:val="14"/>
              </w:rPr>
            </w:pPr>
            <w:r>
              <w:rPr>
                <w:w w:val="95"/>
                <w:sz w:val="14"/>
              </w:rPr>
              <w:t>10,00</w:t>
            </w:r>
          </w:p>
        </w:tc>
        <w:tc>
          <w:tcPr>
            <w:tcW w:w="862" w:type="dxa"/>
          </w:tcPr>
          <w:p>
            <w:pPr>
              <w:pStyle w:val="TableParagraph"/>
              <w:spacing w:line="154" w:lineRule="exact"/>
              <w:ind w:right="62"/>
              <w:jc w:val="right"/>
              <w:rPr>
                <w:sz w:val="14"/>
              </w:rPr>
            </w:pPr>
            <w:r>
              <w:rPr>
                <w:sz w:val="14"/>
              </w:rPr>
              <w:t>220,00</w:t>
            </w:r>
          </w:p>
        </w:tc>
        <w:tc>
          <w:tcPr>
            <w:tcW w:w="1006" w:type="dxa"/>
          </w:tcPr>
          <w:p>
            <w:pPr>
              <w:pStyle w:val="TableParagraph"/>
              <w:spacing w:line="154" w:lineRule="exact"/>
              <w:ind w:right="63"/>
              <w:jc w:val="right"/>
              <w:rPr>
                <w:sz w:val="14"/>
              </w:rPr>
            </w:pPr>
            <w:r>
              <w:rPr>
                <w:sz w:val="14"/>
              </w:rPr>
              <w:t>0,00</w:t>
            </w:r>
          </w:p>
        </w:tc>
        <w:tc>
          <w:tcPr>
            <w:tcW w:w="939" w:type="dxa"/>
          </w:tcPr>
          <w:p>
            <w:pPr>
              <w:pStyle w:val="TableParagraph"/>
              <w:spacing w:line="154" w:lineRule="exact"/>
              <w:ind w:right="63"/>
              <w:jc w:val="right"/>
              <w:rPr>
                <w:sz w:val="14"/>
              </w:rPr>
            </w:pPr>
            <w:r>
              <w:rPr>
                <w:sz w:val="14"/>
              </w:rPr>
              <w:t>220,00</w:t>
            </w:r>
          </w:p>
        </w:tc>
        <w:tc>
          <w:tcPr>
            <w:tcW w:w="881" w:type="dxa"/>
          </w:tcPr>
          <w:p>
            <w:pPr>
              <w:pStyle w:val="TableParagraph"/>
              <w:spacing w:line="154" w:lineRule="exact"/>
              <w:ind w:right="64"/>
              <w:jc w:val="right"/>
              <w:rPr>
                <w:sz w:val="14"/>
              </w:rPr>
            </w:pPr>
            <w:r>
              <w:rPr>
                <w:sz w:val="14"/>
              </w:rPr>
              <w:t>0,00</w:t>
            </w:r>
          </w:p>
        </w:tc>
      </w:tr>
      <w:tr>
        <w:trPr>
          <w:trHeight w:val="179" w:hRule="atLeast"/>
        </w:trPr>
        <w:tc>
          <w:tcPr>
            <w:tcW w:w="919" w:type="dxa"/>
          </w:tcPr>
          <w:p>
            <w:pPr>
              <w:pStyle w:val="TableParagraph"/>
              <w:spacing w:line="154" w:lineRule="exact" w:before="5"/>
              <w:ind w:right="59"/>
              <w:jc w:val="right"/>
              <w:rPr>
                <w:sz w:val="14"/>
              </w:rPr>
            </w:pPr>
            <w:r>
              <w:rPr>
                <w:w w:val="95"/>
                <w:sz w:val="14"/>
              </w:rPr>
              <w:t>21900003</w:t>
            </w:r>
          </w:p>
        </w:tc>
        <w:tc>
          <w:tcPr>
            <w:tcW w:w="2861" w:type="dxa"/>
          </w:tcPr>
          <w:p>
            <w:pPr>
              <w:pStyle w:val="TableParagraph"/>
              <w:spacing w:line="154" w:lineRule="exact" w:before="5"/>
              <w:ind w:left="69"/>
              <w:rPr>
                <w:sz w:val="14"/>
              </w:rPr>
            </w:pPr>
            <w:r>
              <w:rPr>
                <w:sz w:val="14"/>
              </w:rPr>
              <w:t>PUERTA ACUSTICA MADERA RIGA</w:t>
            </w:r>
          </w:p>
        </w:tc>
        <w:tc>
          <w:tcPr>
            <w:tcW w:w="1001" w:type="dxa"/>
          </w:tcPr>
          <w:p>
            <w:pPr>
              <w:pStyle w:val="TableParagraph"/>
              <w:spacing w:line="154" w:lineRule="exact" w:before="5"/>
              <w:ind w:right="61"/>
              <w:jc w:val="right"/>
              <w:rPr>
                <w:sz w:val="14"/>
              </w:rPr>
            </w:pPr>
            <w:r>
              <w:rPr>
                <w:w w:val="95"/>
                <w:sz w:val="14"/>
              </w:rPr>
              <w:t>20/11/2012</w:t>
            </w:r>
          </w:p>
        </w:tc>
        <w:tc>
          <w:tcPr>
            <w:tcW w:w="579" w:type="dxa"/>
          </w:tcPr>
          <w:p>
            <w:pPr>
              <w:pStyle w:val="TableParagraph"/>
              <w:spacing w:line="154" w:lineRule="exact" w:before="5"/>
              <w:ind w:right="60"/>
              <w:jc w:val="right"/>
              <w:rPr>
                <w:sz w:val="14"/>
              </w:rPr>
            </w:pPr>
            <w:r>
              <w:rPr>
                <w:w w:val="95"/>
                <w:sz w:val="14"/>
              </w:rPr>
              <w:t>10,00</w:t>
            </w:r>
          </w:p>
        </w:tc>
        <w:tc>
          <w:tcPr>
            <w:tcW w:w="862" w:type="dxa"/>
          </w:tcPr>
          <w:p>
            <w:pPr>
              <w:pStyle w:val="TableParagraph"/>
              <w:spacing w:line="154" w:lineRule="exact" w:before="5"/>
              <w:ind w:right="62"/>
              <w:jc w:val="right"/>
              <w:rPr>
                <w:sz w:val="14"/>
              </w:rPr>
            </w:pPr>
            <w:r>
              <w:rPr>
                <w:sz w:val="14"/>
              </w:rPr>
              <w:t>655,50</w:t>
            </w:r>
          </w:p>
        </w:tc>
        <w:tc>
          <w:tcPr>
            <w:tcW w:w="1006" w:type="dxa"/>
          </w:tcPr>
          <w:p>
            <w:pPr>
              <w:pStyle w:val="TableParagraph"/>
              <w:spacing w:line="154" w:lineRule="exact" w:before="5"/>
              <w:ind w:right="63"/>
              <w:jc w:val="right"/>
              <w:rPr>
                <w:sz w:val="14"/>
              </w:rPr>
            </w:pPr>
            <w:r>
              <w:rPr>
                <w:sz w:val="14"/>
              </w:rPr>
              <w:t>0,00</w:t>
            </w:r>
          </w:p>
        </w:tc>
        <w:tc>
          <w:tcPr>
            <w:tcW w:w="939" w:type="dxa"/>
          </w:tcPr>
          <w:p>
            <w:pPr>
              <w:pStyle w:val="TableParagraph"/>
              <w:spacing w:line="154" w:lineRule="exact" w:before="5"/>
              <w:ind w:right="63"/>
              <w:jc w:val="right"/>
              <w:rPr>
                <w:sz w:val="14"/>
              </w:rPr>
            </w:pPr>
            <w:r>
              <w:rPr>
                <w:sz w:val="14"/>
              </w:rPr>
              <w:t>655,50</w:t>
            </w:r>
          </w:p>
        </w:tc>
        <w:tc>
          <w:tcPr>
            <w:tcW w:w="881" w:type="dxa"/>
          </w:tcPr>
          <w:p>
            <w:pPr>
              <w:pStyle w:val="TableParagraph"/>
              <w:spacing w:line="154" w:lineRule="exact" w:before="5"/>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21900004</w:t>
            </w:r>
          </w:p>
        </w:tc>
        <w:tc>
          <w:tcPr>
            <w:tcW w:w="2861" w:type="dxa"/>
          </w:tcPr>
          <w:p>
            <w:pPr>
              <w:pStyle w:val="TableParagraph"/>
              <w:spacing w:line="151" w:lineRule="exact"/>
              <w:ind w:left="69"/>
              <w:rPr>
                <w:sz w:val="14"/>
              </w:rPr>
            </w:pPr>
            <w:r>
              <w:rPr>
                <w:sz w:val="14"/>
              </w:rPr>
              <w:t>3 VENTANAS ALUMINO 20*25*50</w:t>
            </w:r>
          </w:p>
        </w:tc>
        <w:tc>
          <w:tcPr>
            <w:tcW w:w="1001" w:type="dxa"/>
          </w:tcPr>
          <w:p>
            <w:pPr>
              <w:pStyle w:val="TableParagraph"/>
              <w:spacing w:line="151" w:lineRule="exact"/>
              <w:ind w:right="61"/>
              <w:jc w:val="right"/>
              <w:rPr>
                <w:sz w:val="14"/>
              </w:rPr>
            </w:pPr>
            <w:r>
              <w:rPr>
                <w:w w:val="95"/>
                <w:sz w:val="14"/>
              </w:rPr>
              <w:t>20/11/2012</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531,00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531,00</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21900005</w:t>
            </w:r>
          </w:p>
        </w:tc>
        <w:tc>
          <w:tcPr>
            <w:tcW w:w="2861" w:type="dxa"/>
          </w:tcPr>
          <w:p>
            <w:pPr>
              <w:pStyle w:val="TableParagraph"/>
              <w:spacing w:line="151" w:lineRule="exact"/>
              <w:ind w:left="69"/>
              <w:rPr>
                <w:sz w:val="14"/>
              </w:rPr>
            </w:pPr>
            <w:r>
              <w:rPr>
                <w:sz w:val="14"/>
              </w:rPr>
              <w:t>BATERIA "YAMAHA" MAROTA</w:t>
            </w:r>
          </w:p>
        </w:tc>
        <w:tc>
          <w:tcPr>
            <w:tcW w:w="1001" w:type="dxa"/>
          </w:tcPr>
          <w:p>
            <w:pPr>
              <w:pStyle w:val="TableParagraph"/>
              <w:spacing w:line="151" w:lineRule="exact"/>
              <w:ind w:right="61"/>
              <w:jc w:val="right"/>
              <w:rPr>
                <w:sz w:val="14"/>
              </w:rPr>
            </w:pPr>
            <w:r>
              <w:rPr>
                <w:w w:val="95"/>
                <w:sz w:val="14"/>
              </w:rPr>
              <w:t>24/01/2012</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900,00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900,00</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21900006</w:t>
            </w:r>
          </w:p>
        </w:tc>
        <w:tc>
          <w:tcPr>
            <w:tcW w:w="2861" w:type="dxa"/>
          </w:tcPr>
          <w:p>
            <w:pPr>
              <w:pStyle w:val="TableParagraph"/>
              <w:spacing w:line="151" w:lineRule="exact"/>
              <w:ind w:left="69"/>
              <w:rPr>
                <w:sz w:val="14"/>
              </w:rPr>
            </w:pPr>
            <w:r>
              <w:rPr>
                <w:sz w:val="14"/>
              </w:rPr>
              <w:t>PIANO "YAMAHA" CLAVINOCA</w:t>
            </w:r>
          </w:p>
        </w:tc>
        <w:tc>
          <w:tcPr>
            <w:tcW w:w="1001" w:type="dxa"/>
          </w:tcPr>
          <w:p>
            <w:pPr>
              <w:pStyle w:val="TableParagraph"/>
              <w:spacing w:line="151" w:lineRule="exact"/>
              <w:ind w:right="61"/>
              <w:jc w:val="right"/>
              <w:rPr>
                <w:sz w:val="14"/>
              </w:rPr>
            </w:pPr>
            <w:r>
              <w:rPr>
                <w:w w:val="95"/>
                <w:sz w:val="14"/>
              </w:rPr>
              <w:t>24/01/2012</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w w:val="95"/>
                <w:sz w:val="14"/>
              </w:rPr>
              <w:t>2.000,00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w w:val="95"/>
                <w:sz w:val="14"/>
              </w:rPr>
              <w:t>2.000,00</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21900007</w:t>
            </w:r>
          </w:p>
        </w:tc>
        <w:tc>
          <w:tcPr>
            <w:tcW w:w="2861" w:type="dxa"/>
          </w:tcPr>
          <w:p>
            <w:pPr>
              <w:pStyle w:val="TableParagraph"/>
              <w:spacing w:line="151" w:lineRule="exact"/>
              <w:ind w:left="69"/>
              <w:rPr>
                <w:sz w:val="14"/>
              </w:rPr>
            </w:pPr>
            <w:r>
              <w:rPr>
                <w:sz w:val="14"/>
              </w:rPr>
              <w:t>PIANO DE COLA "YAMAHA C2"</w:t>
            </w:r>
          </w:p>
        </w:tc>
        <w:tc>
          <w:tcPr>
            <w:tcW w:w="1001" w:type="dxa"/>
          </w:tcPr>
          <w:p>
            <w:pPr>
              <w:pStyle w:val="TableParagraph"/>
              <w:spacing w:line="151" w:lineRule="exact"/>
              <w:ind w:right="61"/>
              <w:jc w:val="right"/>
              <w:rPr>
                <w:sz w:val="14"/>
              </w:rPr>
            </w:pPr>
            <w:r>
              <w:rPr>
                <w:w w:val="95"/>
                <w:sz w:val="14"/>
              </w:rPr>
              <w:t>24/01/2012</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10.000,00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10.000,00</w:t>
            </w:r>
          </w:p>
        </w:tc>
        <w:tc>
          <w:tcPr>
            <w:tcW w:w="881" w:type="dxa"/>
          </w:tcPr>
          <w:p>
            <w:pPr>
              <w:pStyle w:val="TableParagraph"/>
              <w:spacing w:line="151" w:lineRule="exact"/>
              <w:ind w:right="64"/>
              <w:jc w:val="right"/>
              <w:rPr>
                <w:sz w:val="14"/>
              </w:rPr>
            </w:pPr>
            <w:r>
              <w:rPr>
                <w:sz w:val="14"/>
              </w:rPr>
              <w:t>0,00</w:t>
            </w:r>
          </w:p>
        </w:tc>
      </w:tr>
      <w:tr>
        <w:trPr>
          <w:trHeight w:val="182" w:hRule="atLeast"/>
        </w:trPr>
        <w:tc>
          <w:tcPr>
            <w:tcW w:w="919" w:type="dxa"/>
          </w:tcPr>
          <w:p>
            <w:pPr>
              <w:pStyle w:val="TableParagraph"/>
              <w:spacing w:line="154" w:lineRule="exact"/>
              <w:ind w:right="59"/>
              <w:jc w:val="right"/>
              <w:rPr>
                <w:sz w:val="14"/>
              </w:rPr>
            </w:pPr>
            <w:r>
              <w:rPr>
                <w:w w:val="95"/>
                <w:sz w:val="14"/>
              </w:rPr>
              <w:t>21900008</w:t>
            </w:r>
          </w:p>
        </w:tc>
        <w:tc>
          <w:tcPr>
            <w:tcW w:w="2861" w:type="dxa"/>
          </w:tcPr>
          <w:p>
            <w:pPr>
              <w:pStyle w:val="TableParagraph"/>
              <w:spacing w:line="154" w:lineRule="exact"/>
              <w:ind w:left="69"/>
              <w:rPr>
                <w:sz w:val="14"/>
              </w:rPr>
            </w:pPr>
            <w:r>
              <w:rPr>
                <w:sz w:val="14"/>
              </w:rPr>
              <w:t>PIANO VERTICAL YAMAHA C2267957</w:t>
            </w:r>
          </w:p>
        </w:tc>
        <w:tc>
          <w:tcPr>
            <w:tcW w:w="1001" w:type="dxa"/>
          </w:tcPr>
          <w:p>
            <w:pPr>
              <w:pStyle w:val="TableParagraph"/>
              <w:spacing w:line="154" w:lineRule="exact"/>
              <w:ind w:right="61"/>
              <w:jc w:val="right"/>
              <w:rPr>
                <w:sz w:val="14"/>
              </w:rPr>
            </w:pPr>
            <w:r>
              <w:rPr>
                <w:w w:val="95"/>
                <w:sz w:val="14"/>
              </w:rPr>
              <w:t>24/01/2012</w:t>
            </w:r>
          </w:p>
        </w:tc>
        <w:tc>
          <w:tcPr>
            <w:tcW w:w="579" w:type="dxa"/>
          </w:tcPr>
          <w:p>
            <w:pPr>
              <w:pStyle w:val="TableParagraph"/>
              <w:spacing w:line="154" w:lineRule="exact"/>
              <w:ind w:right="60"/>
              <w:jc w:val="right"/>
              <w:rPr>
                <w:sz w:val="14"/>
              </w:rPr>
            </w:pPr>
            <w:r>
              <w:rPr>
                <w:w w:val="95"/>
                <w:sz w:val="14"/>
              </w:rPr>
              <w:t>10,00</w:t>
            </w:r>
          </w:p>
        </w:tc>
        <w:tc>
          <w:tcPr>
            <w:tcW w:w="862" w:type="dxa"/>
          </w:tcPr>
          <w:p>
            <w:pPr>
              <w:pStyle w:val="TableParagraph"/>
              <w:spacing w:line="154" w:lineRule="exact"/>
              <w:ind w:right="62"/>
              <w:jc w:val="right"/>
              <w:rPr>
                <w:sz w:val="14"/>
              </w:rPr>
            </w:pPr>
            <w:r>
              <w:rPr>
                <w:sz w:val="14"/>
              </w:rPr>
              <w:t>800,00</w:t>
            </w:r>
          </w:p>
        </w:tc>
        <w:tc>
          <w:tcPr>
            <w:tcW w:w="1006" w:type="dxa"/>
          </w:tcPr>
          <w:p>
            <w:pPr>
              <w:pStyle w:val="TableParagraph"/>
              <w:spacing w:line="154" w:lineRule="exact"/>
              <w:ind w:right="63"/>
              <w:jc w:val="right"/>
              <w:rPr>
                <w:sz w:val="14"/>
              </w:rPr>
            </w:pPr>
            <w:r>
              <w:rPr>
                <w:sz w:val="14"/>
              </w:rPr>
              <w:t>0,00</w:t>
            </w:r>
          </w:p>
        </w:tc>
        <w:tc>
          <w:tcPr>
            <w:tcW w:w="939" w:type="dxa"/>
          </w:tcPr>
          <w:p>
            <w:pPr>
              <w:pStyle w:val="TableParagraph"/>
              <w:spacing w:line="154" w:lineRule="exact"/>
              <w:ind w:right="63"/>
              <w:jc w:val="right"/>
              <w:rPr>
                <w:sz w:val="14"/>
              </w:rPr>
            </w:pPr>
            <w:r>
              <w:rPr>
                <w:sz w:val="14"/>
              </w:rPr>
              <w:t>800,00</w:t>
            </w:r>
          </w:p>
        </w:tc>
        <w:tc>
          <w:tcPr>
            <w:tcW w:w="881" w:type="dxa"/>
          </w:tcPr>
          <w:p>
            <w:pPr>
              <w:pStyle w:val="TableParagraph"/>
              <w:spacing w:line="154" w:lineRule="exact"/>
              <w:ind w:right="64"/>
              <w:jc w:val="right"/>
              <w:rPr>
                <w:sz w:val="14"/>
              </w:rPr>
            </w:pPr>
            <w:r>
              <w:rPr>
                <w:sz w:val="14"/>
              </w:rPr>
              <w:t>0,00</w:t>
            </w:r>
          </w:p>
        </w:tc>
      </w:tr>
      <w:tr>
        <w:trPr>
          <w:trHeight w:val="179" w:hRule="atLeast"/>
        </w:trPr>
        <w:tc>
          <w:tcPr>
            <w:tcW w:w="919" w:type="dxa"/>
          </w:tcPr>
          <w:p>
            <w:pPr>
              <w:pStyle w:val="TableParagraph"/>
              <w:spacing w:line="154" w:lineRule="exact" w:before="5"/>
              <w:ind w:right="59"/>
              <w:jc w:val="right"/>
              <w:rPr>
                <w:sz w:val="14"/>
              </w:rPr>
            </w:pPr>
            <w:r>
              <w:rPr>
                <w:w w:val="95"/>
                <w:sz w:val="14"/>
              </w:rPr>
              <w:t>21900009</w:t>
            </w:r>
          </w:p>
        </w:tc>
        <w:tc>
          <w:tcPr>
            <w:tcW w:w="2861" w:type="dxa"/>
          </w:tcPr>
          <w:p>
            <w:pPr>
              <w:pStyle w:val="TableParagraph"/>
              <w:spacing w:line="154" w:lineRule="exact" w:before="5"/>
              <w:ind w:left="69"/>
              <w:rPr>
                <w:sz w:val="14"/>
              </w:rPr>
            </w:pPr>
            <w:r>
              <w:rPr>
                <w:sz w:val="14"/>
              </w:rPr>
              <w:t>PIANO VERTICAL YAMAHA P110N</w:t>
            </w:r>
          </w:p>
        </w:tc>
        <w:tc>
          <w:tcPr>
            <w:tcW w:w="1001" w:type="dxa"/>
          </w:tcPr>
          <w:p>
            <w:pPr>
              <w:pStyle w:val="TableParagraph"/>
              <w:spacing w:line="154" w:lineRule="exact" w:before="5"/>
              <w:ind w:right="61"/>
              <w:jc w:val="right"/>
              <w:rPr>
                <w:sz w:val="14"/>
              </w:rPr>
            </w:pPr>
            <w:r>
              <w:rPr>
                <w:w w:val="95"/>
                <w:sz w:val="14"/>
              </w:rPr>
              <w:t>24/01/2012</w:t>
            </w:r>
          </w:p>
        </w:tc>
        <w:tc>
          <w:tcPr>
            <w:tcW w:w="579" w:type="dxa"/>
          </w:tcPr>
          <w:p>
            <w:pPr>
              <w:pStyle w:val="TableParagraph"/>
              <w:spacing w:line="154" w:lineRule="exact" w:before="5"/>
              <w:ind w:right="60"/>
              <w:jc w:val="right"/>
              <w:rPr>
                <w:sz w:val="14"/>
              </w:rPr>
            </w:pPr>
            <w:r>
              <w:rPr>
                <w:w w:val="95"/>
                <w:sz w:val="14"/>
              </w:rPr>
              <w:t>10,00</w:t>
            </w:r>
          </w:p>
        </w:tc>
        <w:tc>
          <w:tcPr>
            <w:tcW w:w="862" w:type="dxa"/>
          </w:tcPr>
          <w:p>
            <w:pPr>
              <w:pStyle w:val="TableParagraph"/>
              <w:spacing w:line="154" w:lineRule="exact" w:before="5"/>
              <w:ind w:right="62"/>
              <w:jc w:val="right"/>
              <w:rPr>
                <w:sz w:val="14"/>
              </w:rPr>
            </w:pPr>
            <w:r>
              <w:rPr>
                <w:w w:val="95"/>
                <w:sz w:val="14"/>
              </w:rPr>
              <w:t>2.000,00</w:t>
            </w:r>
          </w:p>
        </w:tc>
        <w:tc>
          <w:tcPr>
            <w:tcW w:w="1006" w:type="dxa"/>
          </w:tcPr>
          <w:p>
            <w:pPr>
              <w:pStyle w:val="TableParagraph"/>
              <w:spacing w:line="154" w:lineRule="exact" w:before="5"/>
              <w:ind w:right="63"/>
              <w:jc w:val="right"/>
              <w:rPr>
                <w:sz w:val="14"/>
              </w:rPr>
            </w:pPr>
            <w:r>
              <w:rPr>
                <w:sz w:val="14"/>
              </w:rPr>
              <w:t>0,00</w:t>
            </w:r>
          </w:p>
        </w:tc>
        <w:tc>
          <w:tcPr>
            <w:tcW w:w="939" w:type="dxa"/>
          </w:tcPr>
          <w:p>
            <w:pPr>
              <w:pStyle w:val="TableParagraph"/>
              <w:spacing w:line="154" w:lineRule="exact" w:before="5"/>
              <w:ind w:right="63"/>
              <w:jc w:val="right"/>
              <w:rPr>
                <w:sz w:val="14"/>
              </w:rPr>
            </w:pPr>
            <w:r>
              <w:rPr>
                <w:w w:val="95"/>
                <w:sz w:val="14"/>
              </w:rPr>
              <w:t>2.000,00</w:t>
            </w:r>
          </w:p>
        </w:tc>
        <w:tc>
          <w:tcPr>
            <w:tcW w:w="881" w:type="dxa"/>
          </w:tcPr>
          <w:p>
            <w:pPr>
              <w:pStyle w:val="TableParagraph"/>
              <w:spacing w:line="154" w:lineRule="exact" w:before="5"/>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21900010</w:t>
            </w:r>
          </w:p>
        </w:tc>
        <w:tc>
          <w:tcPr>
            <w:tcW w:w="2861" w:type="dxa"/>
          </w:tcPr>
          <w:p>
            <w:pPr>
              <w:pStyle w:val="TableParagraph"/>
              <w:spacing w:line="151" w:lineRule="exact"/>
              <w:ind w:left="69"/>
              <w:rPr>
                <w:sz w:val="14"/>
              </w:rPr>
            </w:pPr>
            <w:r>
              <w:rPr>
                <w:sz w:val="14"/>
              </w:rPr>
              <w:t>PIANO VERTICAL YAMAHA U1</w:t>
            </w:r>
          </w:p>
        </w:tc>
        <w:tc>
          <w:tcPr>
            <w:tcW w:w="1001" w:type="dxa"/>
          </w:tcPr>
          <w:p>
            <w:pPr>
              <w:pStyle w:val="TableParagraph"/>
              <w:spacing w:line="151" w:lineRule="exact"/>
              <w:ind w:right="61"/>
              <w:jc w:val="right"/>
              <w:rPr>
                <w:sz w:val="14"/>
              </w:rPr>
            </w:pPr>
            <w:r>
              <w:rPr>
                <w:w w:val="95"/>
                <w:sz w:val="14"/>
              </w:rPr>
              <w:t>24/01/2012</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w w:val="95"/>
                <w:sz w:val="14"/>
              </w:rPr>
              <w:t>3.000,00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w w:val="95"/>
                <w:sz w:val="14"/>
              </w:rPr>
              <w:t>3.000,00</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21900011</w:t>
            </w:r>
          </w:p>
        </w:tc>
        <w:tc>
          <w:tcPr>
            <w:tcW w:w="2861" w:type="dxa"/>
          </w:tcPr>
          <w:p>
            <w:pPr>
              <w:pStyle w:val="TableParagraph"/>
              <w:spacing w:line="151" w:lineRule="exact"/>
              <w:ind w:left="69"/>
              <w:rPr>
                <w:sz w:val="14"/>
              </w:rPr>
            </w:pPr>
            <w:r>
              <w:rPr>
                <w:sz w:val="14"/>
              </w:rPr>
              <w:t>INST. MUSICALES VARIOS (ICOD)</w:t>
            </w:r>
          </w:p>
        </w:tc>
        <w:tc>
          <w:tcPr>
            <w:tcW w:w="1001" w:type="dxa"/>
          </w:tcPr>
          <w:p>
            <w:pPr>
              <w:pStyle w:val="TableParagraph"/>
              <w:spacing w:line="151" w:lineRule="exact"/>
              <w:ind w:right="61"/>
              <w:jc w:val="right"/>
              <w:rPr>
                <w:sz w:val="14"/>
              </w:rPr>
            </w:pPr>
            <w:r>
              <w:rPr>
                <w:w w:val="95"/>
                <w:sz w:val="14"/>
              </w:rPr>
              <w:t>24/01/2012</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11.820,00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11.820,00</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21900012</w:t>
            </w:r>
          </w:p>
        </w:tc>
        <w:tc>
          <w:tcPr>
            <w:tcW w:w="2861" w:type="dxa"/>
          </w:tcPr>
          <w:p>
            <w:pPr>
              <w:pStyle w:val="TableParagraph"/>
              <w:spacing w:line="151" w:lineRule="exact"/>
              <w:ind w:left="69"/>
              <w:rPr>
                <w:sz w:val="14"/>
              </w:rPr>
            </w:pPr>
            <w:r>
              <w:rPr>
                <w:sz w:val="14"/>
              </w:rPr>
              <w:t>PIANO VERTICAL PETROFF 44936</w:t>
            </w:r>
          </w:p>
        </w:tc>
        <w:tc>
          <w:tcPr>
            <w:tcW w:w="1001" w:type="dxa"/>
          </w:tcPr>
          <w:p>
            <w:pPr>
              <w:pStyle w:val="TableParagraph"/>
              <w:spacing w:line="151" w:lineRule="exact"/>
              <w:ind w:right="61"/>
              <w:jc w:val="right"/>
              <w:rPr>
                <w:sz w:val="14"/>
              </w:rPr>
            </w:pPr>
            <w:r>
              <w:rPr>
                <w:w w:val="95"/>
                <w:sz w:val="14"/>
              </w:rPr>
              <w:t>24/01/2012</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w w:val="95"/>
                <w:sz w:val="14"/>
              </w:rPr>
              <w:t>1.800,00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w w:val="95"/>
                <w:sz w:val="14"/>
              </w:rPr>
              <w:t>1.800,00</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21900013</w:t>
            </w:r>
          </w:p>
        </w:tc>
        <w:tc>
          <w:tcPr>
            <w:tcW w:w="2861" w:type="dxa"/>
          </w:tcPr>
          <w:p>
            <w:pPr>
              <w:pStyle w:val="TableParagraph"/>
              <w:spacing w:line="151" w:lineRule="exact"/>
              <w:ind w:left="69"/>
              <w:rPr>
                <w:sz w:val="14"/>
              </w:rPr>
            </w:pPr>
            <w:r>
              <w:rPr>
                <w:sz w:val="14"/>
              </w:rPr>
              <w:t>PIANO VERTICAL YAMAHA C108N</w:t>
            </w:r>
          </w:p>
        </w:tc>
        <w:tc>
          <w:tcPr>
            <w:tcW w:w="1001" w:type="dxa"/>
          </w:tcPr>
          <w:p>
            <w:pPr>
              <w:pStyle w:val="TableParagraph"/>
              <w:spacing w:line="151" w:lineRule="exact"/>
              <w:ind w:right="61"/>
              <w:jc w:val="right"/>
              <w:rPr>
                <w:sz w:val="14"/>
              </w:rPr>
            </w:pPr>
            <w:r>
              <w:rPr>
                <w:w w:val="95"/>
                <w:sz w:val="14"/>
              </w:rPr>
              <w:t>24/01/2012</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w w:val="95"/>
                <w:sz w:val="14"/>
              </w:rPr>
              <w:t>1.800,00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w w:val="95"/>
                <w:sz w:val="14"/>
              </w:rPr>
              <w:t>1.800,00</w:t>
            </w:r>
          </w:p>
        </w:tc>
        <w:tc>
          <w:tcPr>
            <w:tcW w:w="881" w:type="dxa"/>
          </w:tcPr>
          <w:p>
            <w:pPr>
              <w:pStyle w:val="TableParagraph"/>
              <w:spacing w:line="151" w:lineRule="exact"/>
              <w:ind w:right="64"/>
              <w:jc w:val="right"/>
              <w:rPr>
                <w:sz w:val="14"/>
              </w:rPr>
            </w:pPr>
            <w:r>
              <w:rPr>
                <w:sz w:val="14"/>
              </w:rPr>
              <w:t>0,00</w:t>
            </w:r>
          </w:p>
        </w:tc>
      </w:tr>
      <w:tr>
        <w:trPr>
          <w:trHeight w:val="182" w:hRule="atLeast"/>
        </w:trPr>
        <w:tc>
          <w:tcPr>
            <w:tcW w:w="919" w:type="dxa"/>
          </w:tcPr>
          <w:p>
            <w:pPr>
              <w:pStyle w:val="TableParagraph"/>
              <w:spacing w:line="154" w:lineRule="exact"/>
              <w:ind w:right="59"/>
              <w:jc w:val="right"/>
              <w:rPr>
                <w:sz w:val="14"/>
              </w:rPr>
            </w:pPr>
            <w:r>
              <w:rPr>
                <w:w w:val="95"/>
                <w:sz w:val="14"/>
              </w:rPr>
              <w:t>21900014</w:t>
            </w:r>
          </w:p>
        </w:tc>
        <w:tc>
          <w:tcPr>
            <w:tcW w:w="2861" w:type="dxa"/>
          </w:tcPr>
          <w:p>
            <w:pPr>
              <w:pStyle w:val="TableParagraph"/>
              <w:spacing w:line="154" w:lineRule="exact"/>
              <w:ind w:left="69"/>
              <w:rPr>
                <w:sz w:val="14"/>
              </w:rPr>
            </w:pPr>
            <w:r>
              <w:rPr>
                <w:sz w:val="14"/>
              </w:rPr>
              <w:t>PIANO VERTICAL YAMAHA U1</w:t>
            </w:r>
          </w:p>
        </w:tc>
        <w:tc>
          <w:tcPr>
            <w:tcW w:w="1001" w:type="dxa"/>
          </w:tcPr>
          <w:p>
            <w:pPr>
              <w:pStyle w:val="TableParagraph"/>
              <w:spacing w:line="154" w:lineRule="exact"/>
              <w:ind w:right="61"/>
              <w:jc w:val="right"/>
              <w:rPr>
                <w:sz w:val="14"/>
              </w:rPr>
            </w:pPr>
            <w:r>
              <w:rPr>
                <w:w w:val="95"/>
                <w:sz w:val="14"/>
              </w:rPr>
              <w:t>24/01/2012</w:t>
            </w:r>
          </w:p>
        </w:tc>
        <w:tc>
          <w:tcPr>
            <w:tcW w:w="579" w:type="dxa"/>
          </w:tcPr>
          <w:p>
            <w:pPr>
              <w:pStyle w:val="TableParagraph"/>
              <w:spacing w:line="154" w:lineRule="exact"/>
              <w:ind w:right="60"/>
              <w:jc w:val="right"/>
              <w:rPr>
                <w:sz w:val="14"/>
              </w:rPr>
            </w:pPr>
            <w:r>
              <w:rPr>
                <w:w w:val="95"/>
                <w:sz w:val="14"/>
              </w:rPr>
              <w:t>10,00</w:t>
            </w:r>
          </w:p>
        </w:tc>
        <w:tc>
          <w:tcPr>
            <w:tcW w:w="862" w:type="dxa"/>
          </w:tcPr>
          <w:p>
            <w:pPr>
              <w:pStyle w:val="TableParagraph"/>
              <w:spacing w:line="154" w:lineRule="exact"/>
              <w:ind w:right="62"/>
              <w:jc w:val="right"/>
              <w:rPr>
                <w:sz w:val="14"/>
              </w:rPr>
            </w:pPr>
            <w:r>
              <w:rPr>
                <w:w w:val="95"/>
                <w:sz w:val="14"/>
              </w:rPr>
              <w:t>3.000,00</w:t>
            </w:r>
          </w:p>
        </w:tc>
        <w:tc>
          <w:tcPr>
            <w:tcW w:w="1006" w:type="dxa"/>
          </w:tcPr>
          <w:p>
            <w:pPr>
              <w:pStyle w:val="TableParagraph"/>
              <w:spacing w:line="154" w:lineRule="exact"/>
              <w:ind w:right="63"/>
              <w:jc w:val="right"/>
              <w:rPr>
                <w:sz w:val="14"/>
              </w:rPr>
            </w:pPr>
            <w:r>
              <w:rPr>
                <w:sz w:val="14"/>
              </w:rPr>
              <w:t>0,00</w:t>
            </w:r>
          </w:p>
        </w:tc>
        <w:tc>
          <w:tcPr>
            <w:tcW w:w="939" w:type="dxa"/>
          </w:tcPr>
          <w:p>
            <w:pPr>
              <w:pStyle w:val="TableParagraph"/>
              <w:spacing w:line="154" w:lineRule="exact"/>
              <w:ind w:right="63"/>
              <w:jc w:val="right"/>
              <w:rPr>
                <w:sz w:val="14"/>
              </w:rPr>
            </w:pPr>
            <w:r>
              <w:rPr>
                <w:w w:val="95"/>
                <w:sz w:val="14"/>
              </w:rPr>
              <w:t>3.000,00</w:t>
            </w:r>
          </w:p>
        </w:tc>
        <w:tc>
          <w:tcPr>
            <w:tcW w:w="881" w:type="dxa"/>
          </w:tcPr>
          <w:p>
            <w:pPr>
              <w:pStyle w:val="TableParagraph"/>
              <w:spacing w:line="154" w:lineRule="exact"/>
              <w:ind w:right="64"/>
              <w:jc w:val="right"/>
              <w:rPr>
                <w:sz w:val="14"/>
              </w:rPr>
            </w:pPr>
            <w:r>
              <w:rPr>
                <w:sz w:val="14"/>
              </w:rPr>
              <w:t>0,00</w:t>
            </w:r>
          </w:p>
        </w:tc>
      </w:tr>
      <w:tr>
        <w:trPr>
          <w:trHeight w:val="179" w:hRule="atLeast"/>
        </w:trPr>
        <w:tc>
          <w:tcPr>
            <w:tcW w:w="919" w:type="dxa"/>
          </w:tcPr>
          <w:p>
            <w:pPr>
              <w:pStyle w:val="TableParagraph"/>
              <w:spacing w:line="154" w:lineRule="exact" w:before="5"/>
              <w:ind w:right="59"/>
              <w:jc w:val="right"/>
              <w:rPr>
                <w:sz w:val="14"/>
              </w:rPr>
            </w:pPr>
            <w:r>
              <w:rPr>
                <w:w w:val="95"/>
                <w:sz w:val="14"/>
              </w:rPr>
              <w:t>21900015</w:t>
            </w:r>
          </w:p>
        </w:tc>
        <w:tc>
          <w:tcPr>
            <w:tcW w:w="2861" w:type="dxa"/>
          </w:tcPr>
          <w:p>
            <w:pPr>
              <w:pStyle w:val="TableParagraph"/>
              <w:spacing w:line="154" w:lineRule="exact" w:before="5"/>
              <w:ind w:left="69"/>
              <w:rPr>
                <w:sz w:val="14"/>
              </w:rPr>
            </w:pPr>
            <w:r>
              <w:rPr>
                <w:sz w:val="14"/>
              </w:rPr>
              <w:t>AMPLIFICADOR GUITARRA LINE 6 S</w:t>
            </w:r>
          </w:p>
        </w:tc>
        <w:tc>
          <w:tcPr>
            <w:tcW w:w="1001" w:type="dxa"/>
          </w:tcPr>
          <w:p>
            <w:pPr>
              <w:pStyle w:val="TableParagraph"/>
              <w:spacing w:line="154" w:lineRule="exact" w:before="5"/>
              <w:ind w:right="61"/>
              <w:jc w:val="right"/>
              <w:rPr>
                <w:sz w:val="14"/>
              </w:rPr>
            </w:pPr>
            <w:r>
              <w:rPr>
                <w:w w:val="95"/>
                <w:sz w:val="14"/>
              </w:rPr>
              <w:t>24/01/2012</w:t>
            </w:r>
          </w:p>
        </w:tc>
        <w:tc>
          <w:tcPr>
            <w:tcW w:w="579" w:type="dxa"/>
          </w:tcPr>
          <w:p>
            <w:pPr>
              <w:pStyle w:val="TableParagraph"/>
              <w:spacing w:line="154" w:lineRule="exact" w:before="5"/>
              <w:ind w:right="60"/>
              <w:jc w:val="right"/>
              <w:rPr>
                <w:sz w:val="14"/>
              </w:rPr>
            </w:pPr>
            <w:r>
              <w:rPr>
                <w:w w:val="95"/>
                <w:sz w:val="14"/>
              </w:rPr>
              <w:t>10,00</w:t>
            </w:r>
          </w:p>
        </w:tc>
        <w:tc>
          <w:tcPr>
            <w:tcW w:w="862" w:type="dxa"/>
          </w:tcPr>
          <w:p>
            <w:pPr>
              <w:pStyle w:val="TableParagraph"/>
              <w:spacing w:line="154" w:lineRule="exact" w:before="5"/>
              <w:ind w:right="62"/>
              <w:jc w:val="right"/>
              <w:rPr>
                <w:sz w:val="14"/>
              </w:rPr>
            </w:pPr>
            <w:r>
              <w:rPr>
                <w:sz w:val="14"/>
              </w:rPr>
              <w:t>600,00</w:t>
            </w:r>
          </w:p>
        </w:tc>
        <w:tc>
          <w:tcPr>
            <w:tcW w:w="1006" w:type="dxa"/>
          </w:tcPr>
          <w:p>
            <w:pPr>
              <w:pStyle w:val="TableParagraph"/>
              <w:spacing w:line="154" w:lineRule="exact" w:before="5"/>
              <w:ind w:right="63"/>
              <w:jc w:val="right"/>
              <w:rPr>
                <w:sz w:val="14"/>
              </w:rPr>
            </w:pPr>
            <w:r>
              <w:rPr>
                <w:sz w:val="14"/>
              </w:rPr>
              <w:t>0,00</w:t>
            </w:r>
          </w:p>
        </w:tc>
        <w:tc>
          <w:tcPr>
            <w:tcW w:w="939" w:type="dxa"/>
          </w:tcPr>
          <w:p>
            <w:pPr>
              <w:pStyle w:val="TableParagraph"/>
              <w:spacing w:line="154" w:lineRule="exact" w:before="5"/>
              <w:ind w:right="63"/>
              <w:jc w:val="right"/>
              <w:rPr>
                <w:sz w:val="14"/>
              </w:rPr>
            </w:pPr>
            <w:r>
              <w:rPr>
                <w:sz w:val="14"/>
              </w:rPr>
              <w:t>600,00</w:t>
            </w:r>
          </w:p>
        </w:tc>
        <w:tc>
          <w:tcPr>
            <w:tcW w:w="881" w:type="dxa"/>
          </w:tcPr>
          <w:p>
            <w:pPr>
              <w:pStyle w:val="TableParagraph"/>
              <w:spacing w:line="154" w:lineRule="exact" w:before="5"/>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21900017</w:t>
            </w:r>
          </w:p>
        </w:tc>
        <w:tc>
          <w:tcPr>
            <w:tcW w:w="2861" w:type="dxa"/>
          </w:tcPr>
          <w:p>
            <w:pPr>
              <w:pStyle w:val="TableParagraph"/>
              <w:spacing w:line="151" w:lineRule="exact"/>
              <w:ind w:left="69"/>
              <w:rPr>
                <w:sz w:val="14"/>
              </w:rPr>
            </w:pPr>
            <w:r>
              <w:rPr>
                <w:sz w:val="14"/>
              </w:rPr>
              <w:t>INST. MUSICALES VARIOS (REALEJ</w:t>
            </w:r>
          </w:p>
        </w:tc>
        <w:tc>
          <w:tcPr>
            <w:tcW w:w="1001" w:type="dxa"/>
          </w:tcPr>
          <w:p>
            <w:pPr>
              <w:pStyle w:val="TableParagraph"/>
              <w:spacing w:line="151" w:lineRule="exact"/>
              <w:ind w:right="61"/>
              <w:jc w:val="right"/>
              <w:rPr>
                <w:sz w:val="14"/>
              </w:rPr>
            </w:pPr>
            <w:r>
              <w:rPr>
                <w:w w:val="95"/>
                <w:sz w:val="14"/>
              </w:rPr>
              <w:t>24/01/2012</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31.032,00</w:t>
            </w:r>
          </w:p>
        </w:tc>
        <w:tc>
          <w:tcPr>
            <w:tcW w:w="1006" w:type="dxa"/>
          </w:tcPr>
          <w:p>
            <w:pPr>
              <w:pStyle w:val="TableParagraph"/>
              <w:spacing w:line="151" w:lineRule="exact"/>
              <w:ind w:right="63"/>
              <w:jc w:val="right"/>
              <w:rPr>
                <w:sz w:val="14"/>
              </w:rPr>
            </w:pPr>
            <w:r>
              <w:rPr>
                <w:sz w:val="14"/>
              </w:rPr>
              <w:t>0,00</w:t>
            </w:r>
          </w:p>
        </w:tc>
        <w:tc>
          <w:tcPr>
            <w:tcW w:w="939" w:type="dxa"/>
          </w:tcPr>
          <w:p>
            <w:pPr>
              <w:pStyle w:val="TableParagraph"/>
              <w:spacing w:line="151" w:lineRule="exact"/>
              <w:ind w:right="63"/>
              <w:jc w:val="right"/>
              <w:rPr>
                <w:sz w:val="14"/>
              </w:rPr>
            </w:pPr>
            <w:r>
              <w:rPr>
                <w:sz w:val="14"/>
              </w:rPr>
              <w:t>31.032,00</w:t>
            </w:r>
          </w:p>
        </w:tc>
        <w:tc>
          <w:tcPr>
            <w:tcW w:w="881" w:type="dxa"/>
          </w:tcPr>
          <w:p>
            <w:pPr>
              <w:pStyle w:val="TableParagraph"/>
              <w:spacing w:line="151" w:lineRule="exact"/>
              <w:ind w:right="64"/>
              <w:jc w:val="right"/>
              <w:rPr>
                <w:sz w:val="14"/>
              </w:rPr>
            </w:pPr>
            <w:r>
              <w:rPr>
                <w:sz w:val="14"/>
              </w:rPr>
              <w:t>0,00</w:t>
            </w:r>
          </w:p>
        </w:tc>
      </w:tr>
      <w:tr>
        <w:trPr>
          <w:trHeight w:val="179" w:hRule="atLeast"/>
        </w:trPr>
        <w:tc>
          <w:tcPr>
            <w:tcW w:w="919" w:type="dxa"/>
          </w:tcPr>
          <w:p>
            <w:pPr>
              <w:pStyle w:val="TableParagraph"/>
              <w:spacing w:line="151" w:lineRule="exact"/>
              <w:ind w:right="59"/>
              <w:jc w:val="right"/>
              <w:rPr>
                <w:sz w:val="14"/>
              </w:rPr>
            </w:pPr>
            <w:r>
              <w:rPr>
                <w:w w:val="95"/>
                <w:sz w:val="14"/>
              </w:rPr>
              <w:t>21900018</w:t>
            </w:r>
          </w:p>
        </w:tc>
        <w:tc>
          <w:tcPr>
            <w:tcW w:w="2861" w:type="dxa"/>
          </w:tcPr>
          <w:p>
            <w:pPr>
              <w:pStyle w:val="TableParagraph"/>
              <w:spacing w:line="151" w:lineRule="exact"/>
              <w:ind w:left="69"/>
              <w:rPr>
                <w:sz w:val="14"/>
              </w:rPr>
            </w:pPr>
            <w:r>
              <w:rPr>
                <w:sz w:val="14"/>
              </w:rPr>
              <w:t>PIANO DIGITAL P-35</w:t>
            </w:r>
          </w:p>
        </w:tc>
        <w:tc>
          <w:tcPr>
            <w:tcW w:w="1001" w:type="dxa"/>
          </w:tcPr>
          <w:p>
            <w:pPr>
              <w:pStyle w:val="TableParagraph"/>
              <w:spacing w:line="151" w:lineRule="exact"/>
              <w:ind w:right="61"/>
              <w:jc w:val="right"/>
              <w:rPr>
                <w:sz w:val="14"/>
              </w:rPr>
            </w:pPr>
            <w:r>
              <w:rPr>
                <w:w w:val="95"/>
                <w:sz w:val="14"/>
              </w:rPr>
              <w:t>26/02/2015</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440,00</w:t>
            </w:r>
          </w:p>
        </w:tc>
        <w:tc>
          <w:tcPr>
            <w:tcW w:w="1006" w:type="dxa"/>
          </w:tcPr>
          <w:p>
            <w:pPr>
              <w:pStyle w:val="TableParagraph"/>
              <w:spacing w:line="151" w:lineRule="exact"/>
              <w:ind w:right="63"/>
              <w:jc w:val="right"/>
              <w:rPr>
                <w:sz w:val="14"/>
              </w:rPr>
            </w:pPr>
            <w:r>
              <w:rPr>
                <w:w w:val="95"/>
                <w:sz w:val="14"/>
              </w:rPr>
              <w:t>44,00</w:t>
            </w:r>
          </w:p>
        </w:tc>
        <w:tc>
          <w:tcPr>
            <w:tcW w:w="939" w:type="dxa"/>
          </w:tcPr>
          <w:p>
            <w:pPr>
              <w:pStyle w:val="TableParagraph"/>
              <w:spacing w:line="151" w:lineRule="exact"/>
              <w:ind w:right="63"/>
              <w:jc w:val="right"/>
              <w:rPr>
                <w:sz w:val="14"/>
              </w:rPr>
            </w:pPr>
            <w:r>
              <w:rPr>
                <w:sz w:val="14"/>
              </w:rPr>
              <w:t>433,02</w:t>
            </w:r>
          </w:p>
        </w:tc>
        <w:tc>
          <w:tcPr>
            <w:tcW w:w="881" w:type="dxa"/>
          </w:tcPr>
          <w:p>
            <w:pPr>
              <w:pStyle w:val="TableParagraph"/>
              <w:spacing w:line="151" w:lineRule="exact"/>
              <w:ind w:right="64"/>
              <w:jc w:val="right"/>
              <w:rPr>
                <w:sz w:val="14"/>
              </w:rPr>
            </w:pPr>
            <w:r>
              <w:rPr>
                <w:sz w:val="14"/>
              </w:rPr>
              <w:t>6,98</w:t>
            </w:r>
          </w:p>
        </w:tc>
      </w:tr>
      <w:tr>
        <w:trPr>
          <w:trHeight w:val="179" w:hRule="atLeast"/>
        </w:trPr>
        <w:tc>
          <w:tcPr>
            <w:tcW w:w="919" w:type="dxa"/>
          </w:tcPr>
          <w:p>
            <w:pPr>
              <w:pStyle w:val="TableParagraph"/>
              <w:spacing w:line="151" w:lineRule="exact"/>
              <w:ind w:right="59"/>
              <w:jc w:val="right"/>
              <w:rPr>
                <w:sz w:val="14"/>
              </w:rPr>
            </w:pPr>
            <w:r>
              <w:rPr>
                <w:w w:val="95"/>
                <w:sz w:val="14"/>
              </w:rPr>
              <w:t>21900019</w:t>
            </w:r>
          </w:p>
        </w:tc>
        <w:tc>
          <w:tcPr>
            <w:tcW w:w="2861" w:type="dxa"/>
          </w:tcPr>
          <w:p>
            <w:pPr>
              <w:pStyle w:val="TableParagraph"/>
              <w:spacing w:line="151" w:lineRule="exact"/>
              <w:ind w:left="69"/>
              <w:rPr>
                <w:sz w:val="14"/>
              </w:rPr>
            </w:pPr>
            <w:r>
              <w:rPr>
                <w:sz w:val="14"/>
              </w:rPr>
              <w:t>3 FLAUTAS YAMAHA YFL</w:t>
            </w:r>
          </w:p>
        </w:tc>
        <w:tc>
          <w:tcPr>
            <w:tcW w:w="1001" w:type="dxa"/>
          </w:tcPr>
          <w:p>
            <w:pPr>
              <w:pStyle w:val="TableParagraph"/>
              <w:spacing w:line="151" w:lineRule="exact"/>
              <w:ind w:right="61"/>
              <w:jc w:val="right"/>
              <w:rPr>
                <w:sz w:val="14"/>
              </w:rPr>
            </w:pPr>
            <w:r>
              <w:rPr>
                <w:w w:val="95"/>
                <w:sz w:val="14"/>
              </w:rPr>
              <w:t>26/02/2015</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w w:val="95"/>
                <w:sz w:val="14"/>
              </w:rPr>
              <w:t>1.815,00</w:t>
            </w:r>
          </w:p>
        </w:tc>
        <w:tc>
          <w:tcPr>
            <w:tcW w:w="1006" w:type="dxa"/>
          </w:tcPr>
          <w:p>
            <w:pPr>
              <w:pStyle w:val="TableParagraph"/>
              <w:spacing w:line="151" w:lineRule="exact"/>
              <w:ind w:right="63"/>
              <w:jc w:val="right"/>
              <w:rPr>
                <w:sz w:val="14"/>
              </w:rPr>
            </w:pPr>
            <w:r>
              <w:rPr>
                <w:sz w:val="14"/>
              </w:rPr>
              <w:t>181,50</w:t>
            </w:r>
          </w:p>
        </w:tc>
        <w:tc>
          <w:tcPr>
            <w:tcW w:w="939" w:type="dxa"/>
          </w:tcPr>
          <w:p>
            <w:pPr>
              <w:pStyle w:val="TableParagraph"/>
              <w:spacing w:line="151" w:lineRule="exact"/>
              <w:ind w:right="63"/>
              <w:jc w:val="right"/>
              <w:rPr>
                <w:sz w:val="14"/>
              </w:rPr>
            </w:pPr>
            <w:r>
              <w:rPr>
                <w:w w:val="95"/>
                <w:sz w:val="14"/>
              </w:rPr>
              <w:t>1.785,28</w:t>
            </w:r>
          </w:p>
        </w:tc>
        <w:tc>
          <w:tcPr>
            <w:tcW w:w="881" w:type="dxa"/>
          </w:tcPr>
          <w:p>
            <w:pPr>
              <w:pStyle w:val="TableParagraph"/>
              <w:spacing w:line="151" w:lineRule="exact"/>
              <w:ind w:right="64"/>
              <w:jc w:val="right"/>
              <w:rPr>
                <w:sz w:val="14"/>
              </w:rPr>
            </w:pPr>
            <w:r>
              <w:rPr>
                <w:w w:val="95"/>
                <w:sz w:val="14"/>
              </w:rPr>
              <w:t>29,72</w:t>
            </w:r>
          </w:p>
        </w:tc>
      </w:tr>
      <w:tr>
        <w:trPr>
          <w:trHeight w:val="179" w:hRule="atLeast"/>
        </w:trPr>
        <w:tc>
          <w:tcPr>
            <w:tcW w:w="919" w:type="dxa"/>
          </w:tcPr>
          <w:p>
            <w:pPr>
              <w:pStyle w:val="TableParagraph"/>
              <w:spacing w:line="151" w:lineRule="exact"/>
              <w:ind w:right="59"/>
              <w:jc w:val="right"/>
              <w:rPr>
                <w:sz w:val="14"/>
              </w:rPr>
            </w:pPr>
            <w:r>
              <w:rPr>
                <w:w w:val="95"/>
                <w:sz w:val="14"/>
              </w:rPr>
              <w:t>21900020</w:t>
            </w:r>
          </w:p>
        </w:tc>
        <w:tc>
          <w:tcPr>
            <w:tcW w:w="2861" w:type="dxa"/>
          </w:tcPr>
          <w:p>
            <w:pPr>
              <w:pStyle w:val="TableParagraph"/>
              <w:spacing w:line="151" w:lineRule="exact"/>
              <w:ind w:left="69"/>
              <w:rPr>
                <w:sz w:val="14"/>
              </w:rPr>
            </w:pPr>
            <w:r>
              <w:rPr>
                <w:sz w:val="14"/>
              </w:rPr>
              <w:t>GUITARRA ALHAMBRA 2C</w:t>
            </w:r>
          </w:p>
        </w:tc>
        <w:tc>
          <w:tcPr>
            <w:tcW w:w="1001" w:type="dxa"/>
          </w:tcPr>
          <w:p>
            <w:pPr>
              <w:pStyle w:val="TableParagraph"/>
              <w:spacing w:line="151" w:lineRule="exact"/>
              <w:ind w:right="61"/>
              <w:jc w:val="right"/>
              <w:rPr>
                <w:sz w:val="14"/>
              </w:rPr>
            </w:pPr>
            <w:r>
              <w:rPr>
                <w:w w:val="95"/>
                <w:sz w:val="14"/>
              </w:rPr>
              <w:t>26/02/2015</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245,00</w:t>
            </w:r>
          </w:p>
        </w:tc>
        <w:tc>
          <w:tcPr>
            <w:tcW w:w="1006" w:type="dxa"/>
          </w:tcPr>
          <w:p>
            <w:pPr>
              <w:pStyle w:val="TableParagraph"/>
              <w:spacing w:line="151" w:lineRule="exact"/>
              <w:ind w:right="63"/>
              <w:jc w:val="right"/>
              <w:rPr>
                <w:sz w:val="14"/>
              </w:rPr>
            </w:pPr>
            <w:r>
              <w:rPr>
                <w:w w:val="95"/>
                <w:sz w:val="14"/>
              </w:rPr>
              <w:t>24,50</w:t>
            </w:r>
          </w:p>
        </w:tc>
        <w:tc>
          <w:tcPr>
            <w:tcW w:w="939" w:type="dxa"/>
          </w:tcPr>
          <w:p>
            <w:pPr>
              <w:pStyle w:val="TableParagraph"/>
              <w:spacing w:line="151" w:lineRule="exact"/>
              <w:ind w:right="63"/>
              <w:jc w:val="right"/>
              <w:rPr>
                <w:sz w:val="14"/>
              </w:rPr>
            </w:pPr>
            <w:r>
              <w:rPr>
                <w:sz w:val="14"/>
              </w:rPr>
              <w:t>240,74</w:t>
            </w:r>
          </w:p>
        </w:tc>
        <w:tc>
          <w:tcPr>
            <w:tcW w:w="881" w:type="dxa"/>
          </w:tcPr>
          <w:p>
            <w:pPr>
              <w:pStyle w:val="TableParagraph"/>
              <w:spacing w:line="151" w:lineRule="exact"/>
              <w:ind w:right="64"/>
              <w:jc w:val="right"/>
              <w:rPr>
                <w:sz w:val="14"/>
              </w:rPr>
            </w:pPr>
            <w:r>
              <w:rPr>
                <w:sz w:val="14"/>
              </w:rPr>
              <w:t>4,26</w:t>
            </w:r>
          </w:p>
        </w:tc>
      </w:tr>
      <w:tr>
        <w:trPr>
          <w:trHeight w:val="182" w:hRule="atLeast"/>
        </w:trPr>
        <w:tc>
          <w:tcPr>
            <w:tcW w:w="919" w:type="dxa"/>
          </w:tcPr>
          <w:p>
            <w:pPr>
              <w:pStyle w:val="TableParagraph"/>
              <w:spacing w:line="154" w:lineRule="exact"/>
              <w:ind w:right="59"/>
              <w:jc w:val="right"/>
              <w:rPr>
                <w:sz w:val="14"/>
              </w:rPr>
            </w:pPr>
            <w:r>
              <w:rPr>
                <w:w w:val="95"/>
                <w:sz w:val="14"/>
              </w:rPr>
              <w:t>21900021</w:t>
            </w:r>
          </w:p>
        </w:tc>
        <w:tc>
          <w:tcPr>
            <w:tcW w:w="2861" w:type="dxa"/>
          </w:tcPr>
          <w:p>
            <w:pPr>
              <w:pStyle w:val="TableParagraph"/>
              <w:spacing w:line="154" w:lineRule="exact"/>
              <w:ind w:left="69"/>
              <w:rPr>
                <w:sz w:val="14"/>
              </w:rPr>
            </w:pPr>
            <w:r>
              <w:rPr>
                <w:sz w:val="14"/>
              </w:rPr>
              <w:t>SOP TECLADO DOBLE BSX GEAR</w:t>
            </w:r>
          </w:p>
        </w:tc>
        <w:tc>
          <w:tcPr>
            <w:tcW w:w="1001" w:type="dxa"/>
          </w:tcPr>
          <w:p>
            <w:pPr>
              <w:pStyle w:val="TableParagraph"/>
              <w:spacing w:line="154" w:lineRule="exact"/>
              <w:ind w:right="61"/>
              <w:jc w:val="right"/>
              <w:rPr>
                <w:sz w:val="14"/>
              </w:rPr>
            </w:pPr>
            <w:r>
              <w:rPr>
                <w:w w:val="95"/>
                <w:sz w:val="14"/>
              </w:rPr>
              <w:t>26/02/2015</w:t>
            </w:r>
          </w:p>
        </w:tc>
        <w:tc>
          <w:tcPr>
            <w:tcW w:w="579" w:type="dxa"/>
          </w:tcPr>
          <w:p>
            <w:pPr>
              <w:pStyle w:val="TableParagraph"/>
              <w:spacing w:line="154" w:lineRule="exact"/>
              <w:ind w:right="60"/>
              <w:jc w:val="right"/>
              <w:rPr>
                <w:sz w:val="14"/>
              </w:rPr>
            </w:pPr>
            <w:r>
              <w:rPr>
                <w:w w:val="95"/>
                <w:sz w:val="14"/>
              </w:rPr>
              <w:t>10,00</w:t>
            </w:r>
          </w:p>
        </w:tc>
        <w:tc>
          <w:tcPr>
            <w:tcW w:w="862" w:type="dxa"/>
          </w:tcPr>
          <w:p>
            <w:pPr>
              <w:pStyle w:val="TableParagraph"/>
              <w:spacing w:line="154" w:lineRule="exact"/>
              <w:ind w:right="62"/>
              <w:jc w:val="right"/>
              <w:rPr>
                <w:sz w:val="14"/>
              </w:rPr>
            </w:pPr>
            <w:r>
              <w:rPr>
                <w:w w:val="95"/>
                <w:sz w:val="14"/>
              </w:rPr>
              <w:t>31,40</w:t>
            </w:r>
          </w:p>
        </w:tc>
        <w:tc>
          <w:tcPr>
            <w:tcW w:w="1006" w:type="dxa"/>
          </w:tcPr>
          <w:p>
            <w:pPr>
              <w:pStyle w:val="TableParagraph"/>
              <w:spacing w:line="154" w:lineRule="exact"/>
              <w:ind w:right="63"/>
              <w:jc w:val="right"/>
              <w:rPr>
                <w:sz w:val="14"/>
              </w:rPr>
            </w:pPr>
            <w:r>
              <w:rPr>
                <w:sz w:val="14"/>
              </w:rPr>
              <w:t>3,14</w:t>
            </w:r>
          </w:p>
        </w:tc>
        <w:tc>
          <w:tcPr>
            <w:tcW w:w="939" w:type="dxa"/>
          </w:tcPr>
          <w:p>
            <w:pPr>
              <w:pStyle w:val="TableParagraph"/>
              <w:spacing w:line="154" w:lineRule="exact"/>
              <w:ind w:right="63"/>
              <w:jc w:val="right"/>
              <w:rPr>
                <w:sz w:val="14"/>
              </w:rPr>
            </w:pPr>
            <w:r>
              <w:rPr>
                <w:w w:val="95"/>
                <w:sz w:val="14"/>
              </w:rPr>
              <w:t>30,70</w:t>
            </w:r>
          </w:p>
        </w:tc>
        <w:tc>
          <w:tcPr>
            <w:tcW w:w="881" w:type="dxa"/>
          </w:tcPr>
          <w:p>
            <w:pPr>
              <w:pStyle w:val="TableParagraph"/>
              <w:spacing w:line="154" w:lineRule="exact"/>
              <w:ind w:right="64"/>
              <w:jc w:val="right"/>
              <w:rPr>
                <w:sz w:val="14"/>
              </w:rPr>
            </w:pPr>
            <w:r>
              <w:rPr>
                <w:sz w:val="14"/>
              </w:rPr>
              <w:t>0,70</w:t>
            </w:r>
          </w:p>
        </w:tc>
      </w:tr>
      <w:tr>
        <w:trPr>
          <w:trHeight w:val="179" w:hRule="atLeast"/>
        </w:trPr>
        <w:tc>
          <w:tcPr>
            <w:tcW w:w="919" w:type="dxa"/>
          </w:tcPr>
          <w:p>
            <w:pPr>
              <w:pStyle w:val="TableParagraph"/>
              <w:spacing w:line="154" w:lineRule="exact" w:before="5"/>
              <w:ind w:right="59"/>
              <w:jc w:val="right"/>
              <w:rPr>
                <w:sz w:val="14"/>
              </w:rPr>
            </w:pPr>
            <w:r>
              <w:rPr>
                <w:w w:val="95"/>
                <w:sz w:val="14"/>
              </w:rPr>
              <w:t>21900022</w:t>
            </w:r>
          </w:p>
        </w:tc>
        <w:tc>
          <w:tcPr>
            <w:tcW w:w="2861" w:type="dxa"/>
          </w:tcPr>
          <w:p>
            <w:pPr>
              <w:pStyle w:val="TableParagraph"/>
              <w:spacing w:line="154" w:lineRule="exact" w:before="5"/>
              <w:ind w:left="69"/>
              <w:rPr>
                <w:sz w:val="14"/>
              </w:rPr>
            </w:pPr>
            <w:r>
              <w:rPr>
                <w:sz w:val="14"/>
              </w:rPr>
              <w:t>2 GUITARRA CADETE 3/4 YAMAHA</w:t>
            </w:r>
          </w:p>
        </w:tc>
        <w:tc>
          <w:tcPr>
            <w:tcW w:w="1001" w:type="dxa"/>
          </w:tcPr>
          <w:p>
            <w:pPr>
              <w:pStyle w:val="TableParagraph"/>
              <w:spacing w:line="154" w:lineRule="exact" w:before="5"/>
              <w:ind w:right="61"/>
              <w:jc w:val="right"/>
              <w:rPr>
                <w:sz w:val="14"/>
              </w:rPr>
            </w:pPr>
            <w:r>
              <w:rPr>
                <w:w w:val="95"/>
                <w:sz w:val="14"/>
              </w:rPr>
              <w:t>26/02/2015</w:t>
            </w:r>
          </w:p>
        </w:tc>
        <w:tc>
          <w:tcPr>
            <w:tcW w:w="579" w:type="dxa"/>
          </w:tcPr>
          <w:p>
            <w:pPr>
              <w:pStyle w:val="TableParagraph"/>
              <w:spacing w:line="154" w:lineRule="exact" w:before="5"/>
              <w:ind w:right="60"/>
              <w:jc w:val="right"/>
              <w:rPr>
                <w:sz w:val="14"/>
              </w:rPr>
            </w:pPr>
            <w:r>
              <w:rPr>
                <w:w w:val="95"/>
                <w:sz w:val="14"/>
              </w:rPr>
              <w:t>10,00</w:t>
            </w:r>
          </w:p>
        </w:tc>
        <w:tc>
          <w:tcPr>
            <w:tcW w:w="862" w:type="dxa"/>
          </w:tcPr>
          <w:p>
            <w:pPr>
              <w:pStyle w:val="TableParagraph"/>
              <w:spacing w:line="154" w:lineRule="exact" w:before="5"/>
              <w:ind w:right="62"/>
              <w:jc w:val="right"/>
              <w:rPr>
                <w:sz w:val="14"/>
              </w:rPr>
            </w:pPr>
            <w:r>
              <w:rPr>
                <w:sz w:val="14"/>
              </w:rPr>
              <w:t>230,00</w:t>
            </w:r>
          </w:p>
        </w:tc>
        <w:tc>
          <w:tcPr>
            <w:tcW w:w="1006" w:type="dxa"/>
          </w:tcPr>
          <w:p>
            <w:pPr>
              <w:pStyle w:val="TableParagraph"/>
              <w:spacing w:line="154" w:lineRule="exact" w:before="5"/>
              <w:ind w:right="63"/>
              <w:jc w:val="right"/>
              <w:rPr>
                <w:sz w:val="14"/>
              </w:rPr>
            </w:pPr>
            <w:r>
              <w:rPr>
                <w:w w:val="95"/>
                <w:sz w:val="14"/>
              </w:rPr>
              <w:t>23,00</w:t>
            </w:r>
          </w:p>
        </w:tc>
        <w:tc>
          <w:tcPr>
            <w:tcW w:w="939" w:type="dxa"/>
          </w:tcPr>
          <w:p>
            <w:pPr>
              <w:pStyle w:val="TableParagraph"/>
              <w:spacing w:line="154" w:lineRule="exact" w:before="5"/>
              <w:ind w:right="63"/>
              <w:jc w:val="right"/>
              <w:rPr>
                <w:sz w:val="14"/>
              </w:rPr>
            </w:pPr>
            <w:r>
              <w:rPr>
                <w:sz w:val="14"/>
              </w:rPr>
              <w:t>226,52</w:t>
            </w:r>
          </w:p>
        </w:tc>
        <w:tc>
          <w:tcPr>
            <w:tcW w:w="881" w:type="dxa"/>
          </w:tcPr>
          <w:p>
            <w:pPr>
              <w:pStyle w:val="TableParagraph"/>
              <w:spacing w:line="154" w:lineRule="exact" w:before="5"/>
              <w:ind w:right="64"/>
              <w:jc w:val="right"/>
              <w:rPr>
                <w:sz w:val="14"/>
              </w:rPr>
            </w:pPr>
            <w:r>
              <w:rPr>
                <w:sz w:val="14"/>
              </w:rPr>
              <w:t>3,48</w:t>
            </w:r>
          </w:p>
        </w:tc>
      </w:tr>
      <w:tr>
        <w:trPr>
          <w:trHeight w:val="179" w:hRule="atLeast"/>
        </w:trPr>
        <w:tc>
          <w:tcPr>
            <w:tcW w:w="919" w:type="dxa"/>
          </w:tcPr>
          <w:p>
            <w:pPr>
              <w:pStyle w:val="TableParagraph"/>
              <w:spacing w:line="151" w:lineRule="exact"/>
              <w:ind w:right="59"/>
              <w:jc w:val="right"/>
              <w:rPr>
                <w:sz w:val="14"/>
              </w:rPr>
            </w:pPr>
            <w:r>
              <w:rPr>
                <w:w w:val="95"/>
                <w:sz w:val="14"/>
              </w:rPr>
              <w:t>21900023</w:t>
            </w:r>
          </w:p>
        </w:tc>
        <w:tc>
          <w:tcPr>
            <w:tcW w:w="2861" w:type="dxa"/>
          </w:tcPr>
          <w:p>
            <w:pPr>
              <w:pStyle w:val="TableParagraph"/>
              <w:spacing w:line="151" w:lineRule="exact"/>
              <w:ind w:left="69"/>
              <w:rPr>
                <w:sz w:val="14"/>
              </w:rPr>
            </w:pPr>
            <w:r>
              <w:rPr>
                <w:sz w:val="14"/>
              </w:rPr>
              <w:t>AMPLIFICADOR GUITARRA ELECTRIC</w:t>
            </w:r>
          </w:p>
        </w:tc>
        <w:tc>
          <w:tcPr>
            <w:tcW w:w="1001" w:type="dxa"/>
          </w:tcPr>
          <w:p>
            <w:pPr>
              <w:pStyle w:val="TableParagraph"/>
              <w:spacing w:line="151" w:lineRule="exact"/>
              <w:ind w:right="61"/>
              <w:jc w:val="right"/>
              <w:rPr>
                <w:sz w:val="14"/>
              </w:rPr>
            </w:pPr>
            <w:r>
              <w:rPr>
                <w:w w:val="95"/>
                <w:sz w:val="14"/>
              </w:rPr>
              <w:t>26/02/2015</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240,00</w:t>
            </w:r>
          </w:p>
        </w:tc>
        <w:tc>
          <w:tcPr>
            <w:tcW w:w="1006" w:type="dxa"/>
          </w:tcPr>
          <w:p>
            <w:pPr>
              <w:pStyle w:val="TableParagraph"/>
              <w:spacing w:line="151" w:lineRule="exact"/>
              <w:ind w:right="63"/>
              <w:jc w:val="right"/>
              <w:rPr>
                <w:sz w:val="14"/>
              </w:rPr>
            </w:pPr>
            <w:r>
              <w:rPr>
                <w:w w:val="95"/>
                <w:sz w:val="14"/>
              </w:rPr>
              <w:t>24,00</w:t>
            </w:r>
          </w:p>
        </w:tc>
        <w:tc>
          <w:tcPr>
            <w:tcW w:w="939" w:type="dxa"/>
          </w:tcPr>
          <w:p>
            <w:pPr>
              <w:pStyle w:val="TableParagraph"/>
              <w:spacing w:line="151" w:lineRule="exact"/>
              <w:ind w:right="63"/>
              <w:jc w:val="right"/>
              <w:rPr>
                <w:sz w:val="14"/>
              </w:rPr>
            </w:pPr>
            <w:r>
              <w:rPr>
                <w:sz w:val="14"/>
              </w:rPr>
              <w:t>236,00</w:t>
            </w:r>
          </w:p>
        </w:tc>
        <w:tc>
          <w:tcPr>
            <w:tcW w:w="881" w:type="dxa"/>
          </w:tcPr>
          <w:p>
            <w:pPr>
              <w:pStyle w:val="TableParagraph"/>
              <w:spacing w:line="151" w:lineRule="exact"/>
              <w:ind w:right="64"/>
              <w:jc w:val="right"/>
              <w:rPr>
                <w:sz w:val="14"/>
              </w:rPr>
            </w:pPr>
            <w:r>
              <w:rPr>
                <w:sz w:val="14"/>
              </w:rPr>
              <w:t>4,00</w:t>
            </w:r>
          </w:p>
        </w:tc>
      </w:tr>
      <w:tr>
        <w:trPr>
          <w:trHeight w:val="179" w:hRule="atLeast"/>
        </w:trPr>
        <w:tc>
          <w:tcPr>
            <w:tcW w:w="919" w:type="dxa"/>
          </w:tcPr>
          <w:p>
            <w:pPr>
              <w:pStyle w:val="TableParagraph"/>
              <w:spacing w:line="151" w:lineRule="exact"/>
              <w:ind w:right="59"/>
              <w:jc w:val="right"/>
              <w:rPr>
                <w:sz w:val="14"/>
              </w:rPr>
            </w:pPr>
            <w:r>
              <w:rPr>
                <w:w w:val="95"/>
                <w:sz w:val="14"/>
              </w:rPr>
              <w:t>21900024</w:t>
            </w:r>
          </w:p>
        </w:tc>
        <w:tc>
          <w:tcPr>
            <w:tcW w:w="2861" w:type="dxa"/>
          </w:tcPr>
          <w:p>
            <w:pPr>
              <w:pStyle w:val="TableParagraph"/>
              <w:spacing w:line="151" w:lineRule="exact"/>
              <w:ind w:left="69"/>
              <w:rPr>
                <w:sz w:val="14"/>
              </w:rPr>
            </w:pPr>
            <w:r>
              <w:rPr>
                <w:sz w:val="14"/>
              </w:rPr>
              <w:t>20 STRONG ATRIL PLEGABLE</w:t>
            </w:r>
          </w:p>
        </w:tc>
        <w:tc>
          <w:tcPr>
            <w:tcW w:w="1001" w:type="dxa"/>
          </w:tcPr>
          <w:p>
            <w:pPr>
              <w:pStyle w:val="TableParagraph"/>
              <w:spacing w:line="151" w:lineRule="exact"/>
              <w:ind w:right="61"/>
              <w:jc w:val="right"/>
              <w:rPr>
                <w:sz w:val="14"/>
              </w:rPr>
            </w:pPr>
            <w:r>
              <w:rPr>
                <w:w w:val="95"/>
                <w:sz w:val="14"/>
              </w:rPr>
              <w:t>19/03/2015</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176,00</w:t>
            </w:r>
          </w:p>
        </w:tc>
        <w:tc>
          <w:tcPr>
            <w:tcW w:w="1006" w:type="dxa"/>
          </w:tcPr>
          <w:p>
            <w:pPr>
              <w:pStyle w:val="TableParagraph"/>
              <w:spacing w:line="151" w:lineRule="exact"/>
              <w:ind w:right="63"/>
              <w:jc w:val="right"/>
              <w:rPr>
                <w:sz w:val="14"/>
              </w:rPr>
            </w:pPr>
            <w:r>
              <w:rPr>
                <w:w w:val="95"/>
                <w:sz w:val="14"/>
              </w:rPr>
              <w:t>17,60</w:t>
            </w:r>
          </w:p>
        </w:tc>
        <w:tc>
          <w:tcPr>
            <w:tcW w:w="939" w:type="dxa"/>
          </w:tcPr>
          <w:p>
            <w:pPr>
              <w:pStyle w:val="TableParagraph"/>
              <w:spacing w:line="151" w:lineRule="exact"/>
              <w:ind w:right="63"/>
              <w:jc w:val="right"/>
              <w:rPr>
                <w:sz w:val="14"/>
              </w:rPr>
            </w:pPr>
            <w:r>
              <w:rPr>
                <w:sz w:val="14"/>
              </w:rPr>
              <w:t>171,95</w:t>
            </w:r>
          </w:p>
        </w:tc>
        <w:tc>
          <w:tcPr>
            <w:tcW w:w="881" w:type="dxa"/>
          </w:tcPr>
          <w:p>
            <w:pPr>
              <w:pStyle w:val="TableParagraph"/>
              <w:spacing w:line="151" w:lineRule="exact"/>
              <w:ind w:right="64"/>
              <w:jc w:val="right"/>
              <w:rPr>
                <w:sz w:val="14"/>
              </w:rPr>
            </w:pPr>
            <w:r>
              <w:rPr>
                <w:sz w:val="14"/>
              </w:rPr>
              <w:t>4,05</w:t>
            </w:r>
          </w:p>
        </w:tc>
      </w:tr>
      <w:tr>
        <w:trPr>
          <w:trHeight w:val="179" w:hRule="atLeast"/>
        </w:trPr>
        <w:tc>
          <w:tcPr>
            <w:tcW w:w="919" w:type="dxa"/>
          </w:tcPr>
          <w:p>
            <w:pPr>
              <w:pStyle w:val="TableParagraph"/>
              <w:spacing w:line="151" w:lineRule="exact"/>
              <w:ind w:right="59"/>
              <w:jc w:val="right"/>
              <w:rPr>
                <w:sz w:val="14"/>
              </w:rPr>
            </w:pPr>
            <w:r>
              <w:rPr>
                <w:w w:val="95"/>
                <w:sz w:val="14"/>
              </w:rPr>
              <w:t>21900025</w:t>
            </w:r>
          </w:p>
        </w:tc>
        <w:tc>
          <w:tcPr>
            <w:tcW w:w="2861" w:type="dxa"/>
          </w:tcPr>
          <w:p>
            <w:pPr>
              <w:pStyle w:val="TableParagraph"/>
              <w:spacing w:line="151" w:lineRule="exact"/>
              <w:ind w:left="69"/>
              <w:rPr>
                <w:sz w:val="14"/>
              </w:rPr>
            </w:pPr>
            <w:r>
              <w:rPr>
                <w:sz w:val="14"/>
              </w:rPr>
              <w:t>2 MINICADENA PHILIPS MCM</w:t>
            </w:r>
          </w:p>
        </w:tc>
        <w:tc>
          <w:tcPr>
            <w:tcW w:w="1001" w:type="dxa"/>
          </w:tcPr>
          <w:p>
            <w:pPr>
              <w:pStyle w:val="TableParagraph"/>
              <w:spacing w:line="151" w:lineRule="exact"/>
              <w:ind w:right="61"/>
              <w:jc w:val="right"/>
              <w:rPr>
                <w:sz w:val="14"/>
              </w:rPr>
            </w:pPr>
            <w:r>
              <w:rPr>
                <w:w w:val="95"/>
                <w:sz w:val="14"/>
              </w:rPr>
              <w:t>19/03/2015</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270,00</w:t>
            </w:r>
          </w:p>
        </w:tc>
        <w:tc>
          <w:tcPr>
            <w:tcW w:w="1006" w:type="dxa"/>
          </w:tcPr>
          <w:p>
            <w:pPr>
              <w:pStyle w:val="TableParagraph"/>
              <w:spacing w:line="151" w:lineRule="exact"/>
              <w:ind w:right="63"/>
              <w:jc w:val="right"/>
              <w:rPr>
                <w:sz w:val="14"/>
              </w:rPr>
            </w:pPr>
            <w:r>
              <w:rPr>
                <w:w w:val="95"/>
                <w:sz w:val="14"/>
              </w:rPr>
              <w:t>27,00</w:t>
            </w:r>
          </w:p>
        </w:tc>
        <w:tc>
          <w:tcPr>
            <w:tcW w:w="939" w:type="dxa"/>
          </w:tcPr>
          <w:p>
            <w:pPr>
              <w:pStyle w:val="TableParagraph"/>
              <w:spacing w:line="151" w:lineRule="exact"/>
              <w:ind w:right="63"/>
              <w:jc w:val="right"/>
              <w:rPr>
                <w:sz w:val="14"/>
              </w:rPr>
            </w:pPr>
            <w:r>
              <w:rPr>
                <w:sz w:val="14"/>
              </w:rPr>
              <w:t>263,25</w:t>
            </w:r>
          </w:p>
        </w:tc>
        <w:tc>
          <w:tcPr>
            <w:tcW w:w="881" w:type="dxa"/>
          </w:tcPr>
          <w:p>
            <w:pPr>
              <w:pStyle w:val="TableParagraph"/>
              <w:spacing w:line="151" w:lineRule="exact"/>
              <w:ind w:right="64"/>
              <w:jc w:val="right"/>
              <w:rPr>
                <w:sz w:val="14"/>
              </w:rPr>
            </w:pPr>
            <w:r>
              <w:rPr>
                <w:sz w:val="14"/>
              </w:rPr>
              <w:t>6,75</w:t>
            </w:r>
          </w:p>
        </w:tc>
      </w:tr>
      <w:tr>
        <w:trPr>
          <w:trHeight w:val="179" w:hRule="atLeast"/>
        </w:trPr>
        <w:tc>
          <w:tcPr>
            <w:tcW w:w="919" w:type="dxa"/>
          </w:tcPr>
          <w:p>
            <w:pPr>
              <w:pStyle w:val="TableParagraph"/>
              <w:spacing w:line="151" w:lineRule="exact"/>
              <w:ind w:right="59"/>
              <w:jc w:val="right"/>
              <w:rPr>
                <w:sz w:val="14"/>
              </w:rPr>
            </w:pPr>
            <w:r>
              <w:rPr>
                <w:w w:val="95"/>
                <w:sz w:val="14"/>
              </w:rPr>
              <w:t>21900026</w:t>
            </w:r>
          </w:p>
        </w:tc>
        <w:tc>
          <w:tcPr>
            <w:tcW w:w="2861" w:type="dxa"/>
          </w:tcPr>
          <w:p>
            <w:pPr>
              <w:pStyle w:val="TableParagraph"/>
              <w:spacing w:line="151" w:lineRule="exact"/>
              <w:ind w:left="69"/>
              <w:rPr>
                <w:sz w:val="14"/>
              </w:rPr>
            </w:pPr>
            <w:r>
              <w:rPr>
                <w:sz w:val="14"/>
              </w:rPr>
              <w:t>2 BCT COLUMNA ACTIVA PS</w:t>
            </w:r>
          </w:p>
        </w:tc>
        <w:tc>
          <w:tcPr>
            <w:tcW w:w="1001" w:type="dxa"/>
          </w:tcPr>
          <w:p>
            <w:pPr>
              <w:pStyle w:val="TableParagraph"/>
              <w:spacing w:line="151" w:lineRule="exact"/>
              <w:ind w:right="61"/>
              <w:jc w:val="right"/>
              <w:rPr>
                <w:sz w:val="14"/>
              </w:rPr>
            </w:pPr>
            <w:r>
              <w:rPr>
                <w:w w:val="95"/>
                <w:sz w:val="14"/>
              </w:rPr>
              <w:t>19/03/2015</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389,30</w:t>
            </w:r>
          </w:p>
        </w:tc>
        <w:tc>
          <w:tcPr>
            <w:tcW w:w="1006" w:type="dxa"/>
          </w:tcPr>
          <w:p>
            <w:pPr>
              <w:pStyle w:val="TableParagraph"/>
              <w:spacing w:line="151" w:lineRule="exact"/>
              <w:ind w:right="63"/>
              <w:jc w:val="right"/>
              <w:rPr>
                <w:sz w:val="14"/>
              </w:rPr>
            </w:pPr>
            <w:r>
              <w:rPr>
                <w:w w:val="95"/>
                <w:sz w:val="14"/>
              </w:rPr>
              <w:t>38,93</w:t>
            </w:r>
          </w:p>
        </w:tc>
        <w:tc>
          <w:tcPr>
            <w:tcW w:w="939" w:type="dxa"/>
          </w:tcPr>
          <w:p>
            <w:pPr>
              <w:pStyle w:val="TableParagraph"/>
              <w:spacing w:line="151" w:lineRule="exact"/>
              <w:ind w:right="63"/>
              <w:jc w:val="right"/>
              <w:rPr>
                <w:sz w:val="14"/>
              </w:rPr>
            </w:pPr>
            <w:r>
              <w:rPr>
                <w:sz w:val="14"/>
              </w:rPr>
              <w:t>379,13</w:t>
            </w:r>
          </w:p>
        </w:tc>
        <w:tc>
          <w:tcPr>
            <w:tcW w:w="881" w:type="dxa"/>
          </w:tcPr>
          <w:p>
            <w:pPr>
              <w:pStyle w:val="TableParagraph"/>
              <w:spacing w:line="151" w:lineRule="exact"/>
              <w:ind w:right="64"/>
              <w:jc w:val="right"/>
              <w:rPr>
                <w:sz w:val="14"/>
              </w:rPr>
            </w:pPr>
            <w:r>
              <w:rPr>
                <w:w w:val="95"/>
                <w:sz w:val="14"/>
              </w:rPr>
              <w:t>10,17</w:t>
            </w:r>
          </w:p>
        </w:tc>
      </w:tr>
      <w:tr>
        <w:trPr>
          <w:trHeight w:val="182" w:hRule="atLeast"/>
        </w:trPr>
        <w:tc>
          <w:tcPr>
            <w:tcW w:w="919" w:type="dxa"/>
          </w:tcPr>
          <w:p>
            <w:pPr>
              <w:pStyle w:val="TableParagraph"/>
              <w:spacing w:line="154" w:lineRule="exact"/>
              <w:ind w:right="59"/>
              <w:jc w:val="right"/>
              <w:rPr>
                <w:sz w:val="14"/>
              </w:rPr>
            </w:pPr>
            <w:r>
              <w:rPr>
                <w:w w:val="95"/>
                <w:sz w:val="14"/>
              </w:rPr>
              <w:t>21900027</w:t>
            </w:r>
          </w:p>
        </w:tc>
        <w:tc>
          <w:tcPr>
            <w:tcW w:w="2861" w:type="dxa"/>
          </w:tcPr>
          <w:p>
            <w:pPr>
              <w:pStyle w:val="TableParagraph"/>
              <w:spacing w:line="154" w:lineRule="exact"/>
              <w:ind w:left="69"/>
              <w:rPr>
                <w:sz w:val="14"/>
              </w:rPr>
            </w:pPr>
            <w:r>
              <w:rPr>
                <w:sz w:val="14"/>
              </w:rPr>
              <w:t>INSTRUMENTOS VARIOS</w:t>
            </w:r>
          </w:p>
        </w:tc>
        <w:tc>
          <w:tcPr>
            <w:tcW w:w="1001" w:type="dxa"/>
          </w:tcPr>
          <w:p>
            <w:pPr>
              <w:pStyle w:val="TableParagraph"/>
              <w:spacing w:line="154" w:lineRule="exact"/>
              <w:ind w:right="61"/>
              <w:jc w:val="right"/>
              <w:rPr>
                <w:sz w:val="14"/>
              </w:rPr>
            </w:pPr>
            <w:r>
              <w:rPr>
                <w:w w:val="95"/>
                <w:sz w:val="14"/>
              </w:rPr>
              <w:t>03/03/2015</w:t>
            </w:r>
          </w:p>
        </w:tc>
        <w:tc>
          <w:tcPr>
            <w:tcW w:w="579" w:type="dxa"/>
          </w:tcPr>
          <w:p>
            <w:pPr>
              <w:pStyle w:val="TableParagraph"/>
              <w:spacing w:line="154" w:lineRule="exact"/>
              <w:ind w:right="60"/>
              <w:jc w:val="right"/>
              <w:rPr>
                <w:sz w:val="14"/>
              </w:rPr>
            </w:pPr>
            <w:r>
              <w:rPr>
                <w:w w:val="95"/>
                <w:sz w:val="14"/>
              </w:rPr>
              <w:t>10,00</w:t>
            </w:r>
          </w:p>
        </w:tc>
        <w:tc>
          <w:tcPr>
            <w:tcW w:w="862" w:type="dxa"/>
          </w:tcPr>
          <w:p>
            <w:pPr>
              <w:pStyle w:val="TableParagraph"/>
              <w:spacing w:line="154" w:lineRule="exact"/>
              <w:ind w:right="62"/>
              <w:jc w:val="right"/>
              <w:rPr>
                <w:sz w:val="14"/>
              </w:rPr>
            </w:pPr>
            <w:r>
              <w:rPr>
                <w:w w:val="95"/>
                <w:sz w:val="14"/>
              </w:rPr>
              <w:t>61,74</w:t>
            </w:r>
          </w:p>
        </w:tc>
        <w:tc>
          <w:tcPr>
            <w:tcW w:w="1006" w:type="dxa"/>
          </w:tcPr>
          <w:p>
            <w:pPr>
              <w:pStyle w:val="TableParagraph"/>
              <w:spacing w:line="154" w:lineRule="exact"/>
              <w:ind w:right="63"/>
              <w:jc w:val="right"/>
              <w:rPr>
                <w:sz w:val="14"/>
              </w:rPr>
            </w:pPr>
            <w:r>
              <w:rPr>
                <w:sz w:val="14"/>
              </w:rPr>
              <w:t>6,17</w:t>
            </w:r>
          </w:p>
        </w:tc>
        <w:tc>
          <w:tcPr>
            <w:tcW w:w="939" w:type="dxa"/>
          </w:tcPr>
          <w:p>
            <w:pPr>
              <w:pStyle w:val="TableParagraph"/>
              <w:spacing w:line="154" w:lineRule="exact"/>
              <w:ind w:right="63"/>
              <w:jc w:val="right"/>
              <w:rPr>
                <w:sz w:val="14"/>
              </w:rPr>
            </w:pPr>
            <w:r>
              <w:rPr>
                <w:w w:val="95"/>
                <w:sz w:val="14"/>
              </w:rPr>
              <w:t>60,23</w:t>
            </w:r>
          </w:p>
        </w:tc>
        <w:tc>
          <w:tcPr>
            <w:tcW w:w="881" w:type="dxa"/>
          </w:tcPr>
          <w:p>
            <w:pPr>
              <w:pStyle w:val="TableParagraph"/>
              <w:spacing w:line="154" w:lineRule="exact"/>
              <w:ind w:right="64"/>
              <w:jc w:val="right"/>
              <w:rPr>
                <w:sz w:val="14"/>
              </w:rPr>
            </w:pPr>
            <w:r>
              <w:rPr>
                <w:sz w:val="14"/>
              </w:rPr>
              <w:t>1,51</w:t>
            </w:r>
          </w:p>
        </w:tc>
      </w:tr>
      <w:tr>
        <w:trPr>
          <w:trHeight w:val="179" w:hRule="atLeast"/>
        </w:trPr>
        <w:tc>
          <w:tcPr>
            <w:tcW w:w="919" w:type="dxa"/>
          </w:tcPr>
          <w:p>
            <w:pPr>
              <w:pStyle w:val="TableParagraph"/>
              <w:spacing w:line="154" w:lineRule="exact" w:before="5"/>
              <w:ind w:right="59"/>
              <w:jc w:val="right"/>
              <w:rPr>
                <w:sz w:val="14"/>
              </w:rPr>
            </w:pPr>
            <w:r>
              <w:rPr>
                <w:w w:val="95"/>
                <w:sz w:val="14"/>
              </w:rPr>
              <w:t>21900028</w:t>
            </w:r>
          </w:p>
        </w:tc>
        <w:tc>
          <w:tcPr>
            <w:tcW w:w="2861" w:type="dxa"/>
          </w:tcPr>
          <w:p>
            <w:pPr>
              <w:pStyle w:val="TableParagraph"/>
              <w:spacing w:line="154" w:lineRule="exact" w:before="5"/>
              <w:ind w:left="69"/>
              <w:rPr>
                <w:sz w:val="14"/>
              </w:rPr>
            </w:pPr>
            <w:r>
              <w:rPr>
                <w:sz w:val="14"/>
              </w:rPr>
              <w:t>SAXO ALTO YAMAHA YAS 275</w:t>
            </w:r>
          </w:p>
        </w:tc>
        <w:tc>
          <w:tcPr>
            <w:tcW w:w="1001" w:type="dxa"/>
          </w:tcPr>
          <w:p>
            <w:pPr>
              <w:pStyle w:val="TableParagraph"/>
              <w:spacing w:line="154" w:lineRule="exact" w:before="5"/>
              <w:ind w:right="61"/>
              <w:jc w:val="right"/>
              <w:rPr>
                <w:sz w:val="14"/>
              </w:rPr>
            </w:pPr>
            <w:r>
              <w:rPr>
                <w:w w:val="95"/>
                <w:sz w:val="14"/>
              </w:rPr>
              <w:t>02/05/2018</w:t>
            </w:r>
          </w:p>
        </w:tc>
        <w:tc>
          <w:tcPr>
            <w:tcW w:w="579" w:type="dxa"/>
          </w:tcPr>
          <w:p>
            <w:pPr>
              <w:pStyle w:val="TableParagraph"/>
              <w:spacing w:line="154" w:lineRule="exact" w:before="5"/>
              <w:ind w:right="60"/>
              <w:jc w:val="right"/>
              <w:rPr>
                <w:sz w:val="14"/>
              </w:rPr>
            </w:pPr>
            <w:r>
              <w:rPr>
                <w:w w:val="95"/>
                <w:sz w:val="14"/>
              </w:rPr>
              <w:t>10,00</w:t>
            </w:r>
          </w:p>
        </w:tc>
        <w:tc>
          <w:tcPr>
            <w:tcW w:w="862" w:type="dxa"/>
          </w:tcPr>
          <w:p>
            <w:pPr>
              <w:pStyle w:val="TableParagraph"/>
              <w:spacing w:line="154" w:lineRule="exact" w:before="5"/>
              <w:ind w:right="62"/>
              <w:jc w:val="right"/>
              <w:rPr>
                <w:sz w:val="14"/>
              </w:rPr>
            </w:pPr>
            <w:r>
              <w:rPr>
                <w:sz w:val="14"/>
              </w:rPr>
              <w:t>149,80</w:t>
            </w:r>
          </w:p>
        </w:tc>
        <w:tc>
          <w:tcPr>
            <w:tcW w:w="1006" w:type="dxa"/>
          </w:tcPr>
          <w:p>
            <w:pPr>
              <w:pStyle w:val="TableParagraph"/>
              <w:spacing w:line="154" w:lineRule="exact" w:before="5"/>
              <w:ind w:right="63"/>
              <w:jc w:val="right"/>
              <w:rPr>
                <w:sz w:val="14"/>
              </w:rPr>
            </w:pPr>
            <w:r>
              <w:rPr>
                <w:w w:val="95"/>
                <w:sz w:val="14"/>
              </w:rPr>
              <w:t>14,98</w:t>
            </w:r>
          </w:p>
        </w:tc>
        <w:tc>
          <w:tcPr>
            <w:tcW w:w="939" w:type="dxa"/>
          </w:tcPr>
          <w:p>
            <w:pPr>
              <w:pStyle w:val="TableParagraph"/>
              <w:spacing w:line="154" w:lineRule="exact" w:before="5"/>
              <w:ind w:right="63"/>
              <w:jc w:val="right"/>
              <w:rPr>
                <w:sz w:val="14"/>
              </w:rPr>
            </w:pPr>
            <w:r>
              <w:rPr>
                <w:w w:val="95"/>
                <w:sz w:val="14"/>
              </w:rPr>
              <w:t>99,98</w:t>
            </w:r>
          </w:p>
        </w:tc>
        <w:tc>
          <w:tcPr>
            <w:tcW w:w="881" w:type="dxa"/>
          </w:tcPr>
          <w:p>
            <w:pPr>
              <w:pStyle w:val="TableParagraph"/>
              <w:spacing w:line="154" w:lineRule="exact" w:before="5"/>
              <w:ind w:right="64"/>
              <w:jc w:val="right"/>
              <w:rPr>
                <w:sz w:val="14"/>
              </w:rPr>
            </w:pPr>
            <w:r>
              <w:rPr>
                <w:w w:val="95"/>
                <w:sz w:val="14"/>
              </w:rPr>
              <w:t>49,82</w:t>
            </w:r>
          </w:p>
        </w:tc>
      </w:tr>
      <w:tr>
        <w:trPr>
          <w:trHeight w:val="179" w:hRule="atLeast"/>
        </w:trPr>
        <w:tc>
          <w:tcPr>
            <w:tcW w:w="919" w:type="dxa"/>
          </w:tcPr>
          <w:p>
            <w:pPr>
              <w:pStyle w:val="TableParagraph"/>
              <w:spacing w:line="152" w:lineRule="exact"/>
              <w:ind w:right="59"/>
              <w:jc w:val="right"/>
              <w:rPr>
                <w:sz w:val="14"/>
              </w:rPr>
            </w:pPr>
            <w:r>
              <w:rPr>
                <w:w w:val="95"/>
                <w:sz w:val="14"/>
              </w:rPr>
              <w:t>21900029</w:t>
            </w:r>
          </w:p>
        </w:tc>
        <w:tc>
          <w:tcPr>
            <w:tcW w:w="2861" w:type="dxa"/>
          </w:tcPr>
          <w:p>
            <w:pPr>
              <w:pStyle w:val="TableParagraph"/>
              <w:spacing w:line="152" w:lineRule="exact"/>
              <w:ind w:left="69"/>
              <w:rPr>
                <w:sz w:val="14"/>
              </w:rPr>
            </w:pPr>
            <w:r>
              <w:rPr>
                <w:sz w:val="14"/>
              </w:rPr>
              <w:t>RADIADOR ACEITE KUNFT</w:t>
            </w:r>
          </w:p>
        </w:tc>
        <w:tc>
          <w:tcPr>
            <w:tcW w:w="1001" w:type="dxa"/>
          </w:tcPr>
          <w:p>
            <w:pPr>
              <w:pStyle w:val="TableParagraph"/>
              <w:spacing w:line="152" w:lineRule="exact"/>
              <w:ind w:right="61"/>
              <w:jc w:val="right"/>
              <w:rPr>
                <w:sz w:val="14"/>
              </w:rPr>
            </w:pPr>
            <w:r>
              <w:rPr>
                <w:w w:val="95"/>
                <w:sz w:val="14"/>
              </w:rPr>
              <w:t>13/11/2018</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sz w:val="14"/>
              </w:rPr>
              <w:t>215,94</w:t>
            </w:r>
          </w:p>
        </w:tc>
        <w:tc>
          <w:tcPr>
            <w:tcW w:w="1006" w:type="dxa"/>
          </w:tcPr>
          <w:p>
            <w:pPr>
              <w:pStyle w:val="TableParagraph"/>
              <w:spacing w:line="152" w:lineRule="exact"/>
              <w:ind w:right="63"/>
              <w:jc w:val="right"/>
              <w:rPr>
                <w:sz w:val="14"/>
              </w:rPr>
            </w:pPr>
            <w:r>
              <w:rPr>
                <w:w w:val="95"/>
                <w:sz w:val="14"/>
              </w:rPr>
              <w:t>21,59</w:t>
            </w:r>
          </w:p>
        </w:tc>
        <w:tc>
          <w:tcPr>
            <w:tcW w:w="939" w:type="dxa"/>
          </w:tcPr>
          <w:p>
            <w:pPr>
              <w:pStyle w:val="TableParagraph"/>
              <w:spacing w:line="152" w:lineRule="exact"/>
              <w:ind w:right="63"/>
              <w:jc w:val="right"/>
              <w:rPr>
                <w:sz w:val="14"/>
              </w:rPr>
            </w:pPr>
            <w:r>
              <w:rPr>
                <w:sz w:val="14"/>
              </w:rPr>
              <w:t>133,19</w:t>
            </w:r>
          </w:p>
        </w:tc>
        <w:tc>
          <w:tcPr>
            <w:tcW w:w="881" w:type="dxa"/>
          </w:tcPr>
          <w:p>
            <w:pPr>
              <w:pStyle w:val="TableParagraph"/>
              <w:spacing w:line="152" w:lineRule="exact"/>
              <w:ind w:right="64"/>
              <w:jc w:val="right"/>
              <w:rPr>
                <w:sz w:val="14"/>
              </w:rPr>
            </w:pPr>
            <w:r>
              <w:rPr>
                <w:w w:val="95"/>
                <w:sz w:val="14"/>
              </w:rPr>
              <w:t>82,75</w:t>
            </w:r>
          </w:p>
        </w:tc>
      </w:tr>
      <w:tr>
        <w:trPr>
          <w:trHeight w:val="179" w:hRule="atLeast"/>
        </w:trPr>
        <w:tc>
          <w:tcPr>
            <w:tcW w:w="919" w:type="dxa"/>
          </w:tcPr>
          <w:p>
            <w:pPr>
              <w:pStyle w:val="TableParagraph"/>
              <w:spacing w:line="152" w:lineRule="exact"/>
              <w:ind w:right="59"/>
              <w:jc w:val="right"/>
              <w:rPr>
                <w:sz w:val="14"/>
              </w:rPr>
            </w:pPr>
            <w:r>
              <w:rPr>
                <w:w w:val="95"/>
                <w:sz w:val="14"/>
              </w:rPr>
              <w:t>21900030</w:t>
            </w:r>
          </w:p>
        </w:tc>
        <w:tc>
          <w:tcPr>
            <w:tcW w:w="2861" w:type="dxa"/>
          </w:tcPr>
          <w:p>
            <w:pPr>
              <w:pStyle w:val="TableParagraph"/>
              <w:spacing w:line="152" w:lineRule="exact"/>
              <w:ind w:left="69"/>
              <w:rPr>
                <w:sz w:val="14"/>
              </w:rPr>
            </w:pPr>
            <w:r>
              <w:rPr>
                <w:sz w:val="14"/>
              </w:rPr>
              <w:t>ACCESORIOS INSTRUMENTOS VARIOS</w:t>
            </w:r>
          </w:p>
        </w:tc>
        <w:tc>
          <w:tcPr>
            <w:tcW w:w="1001" w:type="dxa"/>
          </w:tcPr>
          <w:p>
            <w:pPr>
              <w:pStyle w:val="TableParagraph"/>
              <w:spacing w:line="152" w:lineRule="exact"/>
              <w:ind w:right="61"/>
              <w:jc w:val="right"/>
              <w:rPr>
                <w:sz w:val="14"/>
              </w:rPr>
            </w:pPr>
            <w:r>
              <w:rPr>
                <w:w w:val="95"/>
                <w:sz w:val="14"/>
              </w:rPr>
              <w:t>18/12/2018</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1.195,90</w:t>
            </w:r>
          </w:p>
        </w:tc>
        <w:tc>
          <w:tcPr>
            <w:tcW w:w="1006" w:type="dxa"/>
          </w:tcPr>
          <w:p>
            <w:pPr>
              <w:pStyle w:val="TableParagraph"/>
              <w:spacing w:line="152" w:lineRule="exact"/>
              <w:ind w:right="63"/>
              <w:jc w:val="right"/>
              <w:rPr>
                <w:sz w:val="14"/>
              </w:rPr>
            </w:pPr>
            <w:r>
              <w:rPr>
                <w:sz w:val="14"/>
              </w:rPr>
              <w:t>119,59</w:t>
            </w:r>
          </w:p>
        </w:tc>
        <w:tc>
          <w:tcPr>
            <w:tcW w:w="939" w:type="dxa"/>
          </w:tcPr>
          <w:p>
            <w:pPr>
              <w:pStyle w:val="TableParagraph"/>
              <w:spacing w:line="152" w:lineRule="exact"/>
              <w:ind w:right="63"/>
              <w:jc w:val="right"/>
              <w:rPr>
                <w:sz w:val="14"/>
              </w:rPr>
            </w:pPr>
            <w:r>
              <w:rPr>
                <w:sz w:val="14"/>
              </w:rPr>
              <w:t>717,79</w:t>
            </w:r>
          </w:p>
        </w:tc>
        <w:tc>
          <w:tcPr>
            <w:tcW w:w="881" w:type="dxa"/>
          </w:tcPr>
          <w:p>
            <w:pPr>
              <w:pStyle w:val="TableParagraph"/>
              <w:spacing w:line="152" w:lineRule="exact"/>
              <w:ind w:right="64"/>
              <w:jc w:val="right"/>
              <w:rPr>
                <w:sz w:val="14"/>
              </w:rPr>
            </w:pPr>
            <w:r>
              <w:rPr>
                <w:sz w:val="14"/>
              </w:rPr>
              <w:t>478,11</w:t>
            </w:r>
          </w:p>
        </w:tc>
      </w:tr>
      <w:tr>
        <w:trPr>
          <w:trHeight w:val="179" w:hRule="atLeast"/>
        </w:trPr>
        <w:tc>
          <w:tcPr>
            <w:tcW w:w="919" w:type="dxa"/>
          </w:tcPr>
          <w:p>
            <w:pPr>
              <w:pStyle w:val="TableParagraph"/>
              <w:spacing w:line="152" w:lineRule="exact"/>
              <w:ind w:right="59"/>
              <w:jc w:val="right"/>
              <w:rPr>
                <w:sz w:val="14"/>
              </w:rPr>
            </w:pPr>
            <w:r>
              <w:rPr>
                <w:w w:val="95"/>
                <w:sz w:val="14"/>
              </w:rPr>
              <w:t>21900031</w:t>
            </w:r>
          </w:p>
        </w:tc>
        <w:tc>
          <w:tcPr>
            <w:tcW w:w="2861" w:type="dxa"/>
          </w:tcPr>
          <w:p>
            <w:pPr>
              <w:pStyle w:val="TableParagraph"/>
              <w:spacing w:line="152" w:lineRule="exact"/>
              <w:ind w:left="69"/>
              <w:rPr>
                <w:sz w:val="14"/>
              </w:rPr>
            </w:pPr>
            <w:r>
              <w:rPr>
                <w:sz w:val="14"/>
              </w:rPr>
              <w:t>XILOFONO ALTO RITMO</w:t>
            </w:r>
          </w:p>
        </w:tc>
        <w:tc>
          <w:tcPr>
            <w:tcW w:w="1001" w:type="dxa"/>
          </w:tcPr>
          <w:p>
            <w:pPr>
              <w:pStyle w:val="TableParagraph"/>
              <w:spacing w:line="152" w:lineRule="exact"/>
              <w:ind w:right="61"/>
              <w:jc w:val="right"/>
              <w:rPr>
                <w:sz w:val="14"/>
              </w:rPr>
            </w:pPr>
            <w:r>
              <w:rPr>
                <w:w w:val="95"/>
                <w:sz w:val="14"/>
              </w:rPr>
              <w:t>17/12/2018</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sz w:val="14"/>
              </w:rPr>
              <w:t>240,00</w:t>
            </w:r>
          </w:p>
        </w:tc>
        <w:tc>
          <w:tcPr>
            <w:tcW w:w="1006" w:type="dxa"/>
          </w:tcPr>
          <w:p>
            <w:pPr>
              <w:pStyle w:val="TableParagraph"/>
              <w:spacing w:line="152" w:lineRule="exact"/>
              <w:ind w:right="63"/>
              <w:jc w:val="right"/>
              <w:rPr>
                <w:sz w:val="14"/>
              </w:rPr>
            </w:pPr>
            <w:r>
              <w:rPr>
                <w:w w:val="95"/>
                <w:sz w:val="14"/>
              </w:rPr>
              <w:t>24,00</w:t>
            </w:r>
          </w:p>
        </w:tc>
        <w:tc>
          <w:tcPr>
            <w:tcW w:w="939" w:type="dxa"/>
          </w:tcPr>
          <w:p>
            <w:pPr>
              <w:pStyle w:val="TableParagraph"/>
              <w:spacing w:line="152" w:lineRule="exact"/>
              <w:ind w:right="63"/>
              <w:jc w:val="right"/>
              <w:rPr>
                <w:sz w:val="14"/>
              </w:rPr>
            </w:pPr>
            <w:r>
              <w:rPr>
                <w:sz w:val="14"/>
              </w:rPr>
              <w:t>144,00</w:t>
            </w:r>
          </w:p>
        </w:tc>
        <w:tc>
          <w:tcPr>
            <w:tcW w:w="881" w:type="dxa"/>
          </w:tcPr>
          <w:p>
            <w:pPr>
              <w:pStyle w:val="TableParagraph"/>
              <w:spacing w:line="152" w:lineRule="exact"/>
              <w:ind w:right="64"/>
              <w:jc w:val="right"/>
              <w:rPr>
                <w:sz w:val="14"/>
              </w:rPr>
            </w:pPr>
            <w:r>
              <w:rPr>
                <w:w w:val="95"/>
                <w:sz w:val="14"/>
              </w:rPr>
              <w:t>96,00</w:t>
            </w:r>
          </w:p>
        </w:tc>
      </w:tr>
      <w:tr>
        <w:trPr>
          <w:trHeight w:val="179" w:hRule="atLeast"/>
        </w:trPr>
        <w:tc>
          <w:tcPr>
            <w:tcW w:w="919" w:type="dxa"/>
          </w:tcPr>
          <w:p>
            <w:pPr>
              <w:pStyle w:val="TableParagraph"/>
              <w:spacing w:line="152" w:lineRule="exact"/>
              <w:ind w:right="59"/>
              <w:jc w:val="right"/>
              <w:rPr>
                <w:sz w:val="14"/>
              </w:rPr>
            </w:pPr>
            <w:r>
              <w:rPr>
                <w:w w:val="95"/>
                <w:sz w:val="14"/>
              </w:rPr>
              <w:t>21900032</w:t>
            </w:r>
          </w:p>
        </w:tc>
        <w:tc>
          <w:tcPr>
            <w:tcW w:w="2861" w:type="dxa"/>
          </w:tcPr>
          <w:p>
            <w:pPr>
              <w:pStyle w:val="TableParagraph"/>
              <w:spacing w:line="152" w:lineRule="exact"/>
              <w:ind w:left="69"/>
              <w:rPr>
                <w:sz w:val="14"/>
              </w:rPr>
            </w:pPr>
            <w:r>
              <w:rPr>
                <w:sz w:val="14"/>
              </w:rPr>
              <w:t>METALOFONO ALTO RITMO</w:t>
            </w:r>
          </w:p>
        </w:tc>
        <w:tc>
          <w:tcPr>
            <w:tcW w:w="1001" w:type="dxa"/>
          </w:tcPr>
          <w:p>
            <w:pPr>
              <w:pStyle w:val="TableParagraph"/>
              <w:spacing w:line="152" w:lineRule="exact"/>
              <w:ind w:right="61"/>
              <w:jc w:val="right"/>
              <w:rPr>
                <w:sz w:val="14"/>
              </w:rPr>
            </w:pPr>
            <w:r>
              <w:rPr>
                <w:w w:val="95"/>
                <w:sz w:val="14"/>
              </w:rPr>
              <w:t>17/12/2018</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sz w:val="14"/>
              </w:rPr>
              <w:t>240,00</w:t>
            </w:r>
          </w:p>
        </w:tc>
        <w:tc>
          <w:tcPr>
            <w:tcW w:w="1006" w:type="dxa"/>
          </w:tcPr>
          <w:p>
            <w:pPr>
              <w:pStyle w:val="TableParagraph"/>
              <w:spacing w:line="152" w:lineRule="exact"/>
              <w:ind w:right="63"/>
              <w:jc w:val="right"/>
              <w:rPr>
                <w:sz w:val="14"/>
              </w:rPr>
            </w:pPr>
            <w:r>
              <w:rPr>
                <w:w w:val="95"/>
                <w:sz w:val="14"/>
              </w:rPr>
              <w:t>24,00</w:t>
            </w:r>
          </w:p>
        </w:tc>
        <w:tc>
          <w:tcPr>
            <w:tcW w:w="939" w:type="dxa"/>
          </w:tcPr>
          <w:p>
            <w:pPr>
              <w:pStyle w:val="TableParagraph"/>
              <w:spacing w:line="152" w:lineRule="exact"/>
              <w:ind w:right="63"/>
              <w:jc w:val="right"/>
              <w:rPr>
                <w:sz w:val="14"/>
              </w:rPr>
            </w:pPr>
            <w:r>
              <w:rPr>
                <w:sz w:val="14"/>
              </w:rPr>
              <w:t>144,00</w:t>
            </w:r>
          </w:p>
        </w:tc>
        <w:tc>
          <w:tcPr>
            <w:tcW w:w="881" w:type="dxa"/>
          </w:tcPr>
          <w:p>
            <w:pPr>
              <w:pStyle w:val="TableParagraph"/>
              <w:spacing w:line="152" w:lineRule="exact"/>
              <w:ind w:right="64"/>
              <w:jc w:val="right"/>
              <w:rPr>
                <w:sz w:val="14"/>
              </w:rPr>
            </w:pPr>
            <w:r>
              <w:rPr>
                <w:w w:val="95"/>
                <w:sz w:val="14"/>
              </w:rPr>
              <w:t>96,00</w:t>
            </w:r>
          </w:p>
        </w:tc>
      </w:tr>
      <w:tr>
        <w:trPr>
          <w:trHeight w:val="182" w:hRule="atLeast"/>
        </w:trPr>
        <w:tc>
          <w:tcPr>
            <w:tcW w:w="919" w:type="dxa"/>
          </w:tcPr>
          <w:p>
            <w:pPr>
              <w:pStyle w:val="TableParagraph"/>
              <w:spacing w:line="154" w:lineRule="exact"/>
              <w:ind w:right="59"/>
              <w:jc w:val="right"/>
              <w:rPr>
                <w:sz w:val="14"/>
              </w:rPr>
            </w:pPr>
            <w:r>
              <w:rPr>
                <w:w w:val="95"/>
                <w:sz w:val="14"/>
              </w:rPr>
              <w:t>21900033</w:t>
            </w:r>
          </w:p>
        </w:tc>
        <w:tc>
          <w:tcPr>
            <w:tcW w:w="2861" w:type="dxa"/>
          </w:tcPr>
          <w:p>
            <w:pPr>
              <w:pStyle w:val="TableParagraph"/>
              <w:spacing w:line="154" w:lineRule="exact"/>
              <w:ind w:left="69"/>
              <w:rPr>
                <w:sz w:val="14"/>
              </w:rPr>
            </w:pPr>
            <w:r>
              <w:rPr>
                <w:sz w:val="14"/>
              </w:rPr>
              <w:t>CLARINETES</w:t>
            </w:r>
          </w:p>
        </w:tc>
        <w:tc>
          <w:tcPr>
            <w:tcW w:w="1001" w:type="dxa"/>
          </w:tcPr>
          <w:p>
            <w:pPr>
              <w:pStyle w:val="TableParagraph"/>
              <w:spacing w:line="154" w:lineRule="exact"/>
              <w:ind w:right="61"/>
              <w:jc w:val="right"/>
              <w:rPr>
                <w:sz w:val="14"/>
              </w:rPr>
            </w:pPr>
            <w:r>
              <w:rPr>
                <w:w w:val="95"/>
                <w:sz w:val="14"/>
              </w:rPr>
              <w:t>05/12/2018</w:t>
            </w:r>
          </w:p>
        </w:tc>
        <w:tc>
          <w:tcPr>
            <w:tcW w:w="579" w:type="dxa"/>
          </w:tcPr>
          <w:p>
            <w:pPr>
              <w:pStyle w:val="TableParagraph"/>
              <w:spacing w:line="154" w:lineRule="exact"/>
              <w:ind w:right="60"/>
              <w:jc w:val="right"/>
              <w:rPr>
                <w:sz w:val="14"/>
              </w:rPr>
            </w:pPr>
            <w:r>
              <w:rPr>
                <w:w w:val="95"/>
                <w:sz w:val="14"/>
              </w:rPr>
              <w:t>10,00</w:t>
            </w:r>
          </w:p>
        </w:tc>
        <w:tc>
          <w:tcPr>
            <w:tcW w:w="862" w:type="dxa"/>
          </w:tcPr>
          <w:p>
            <w:pPr>
              <w:pStyle w:val="TableParagraph"/>
              <w:spacing w:line="154" w:lineRule="exact"/>
              <w:ind w:right="62"/>
              <w:jc w:val="right"/>
              <w:rPr>
                <w:sz w:val="14"/>
              </w:rPr>
            </w:pPr>
            <w:r>
              <w:rPr>
                <w:sz w:val="14"/>
              </w:rPr>
              <w:t>888,10</w:t>
            </w:r>
          </w:p>
        </w:tc>
        <w:tc>
          <w:tcPr>
            <w:tcW w:w="1006" w:type="dxa"/>
          </w:tcPr>
          <w:p>
            <w:pPr>
              <w:pStyle w:val="TableParagraph"/>
              <w:spacing w:line="154" w:lineRule="exact"/>
              <w:ind w:right="63"/>
              <w:jc w:val="right"/>
              <w:rPr>
                <w:sz w:val="14"/>
              </w:rPr>
            </w:pPr>
            <w:r>
              <w:rPr>
                <w:w w:val="95"/>
                <w:sz w:val="14"/>
              </w:rPr>
              <w:t>88,81</w:t>
            </w:r>
          </w:p>
        </w:tc>
        <w:tc>
          <w:tcPr>
            <w:tcW w:w="939" w:type="dxa"/>
          </w:tcPr>
          <w:p>
            <w:pPr>
              <w:pStyle w:val="TableParagraph"/>
              <w:spacing w:line="154" w:lineRule="exact"/>
              <w:ind w:right="63"/>
              <w:jc w:val="right"/>
              <w:rPr>
                <w:sz w:val="14"/>
              </w:rPr>
            </w:pPr>
            <w:r>
              <w:rPr>
                <w:sz w:val="14"/>
              </w:rPr>
              <w:t>540,21</w:t>
            </w:r>
          </w:p>
        </w:tc>
        <w:tc>
          <w:tcPr>
            <w:tcW w:w="881" w:type="dxa"/>
          </w:tcPr>
          <w:p>
            <w:pPr>
              <w:pStyle w:val="TableParagraph"/>
              <w:spacing w:line="154" w:lineRule="exact"/>
              <w:ind w:right="64"/>
              <w:jc w:val="right"/>
              <w:rPr>
                <w:sz w:val="14"/>
              </w:rPr>
            </w:pPr>
            <w:r>
              <w:rPr>
                <w:sz w:val="14"/>
              </w:rPr>
              <w:t>347,89</w:t>
            </w:r>
          </w:p>
        </w:tc>
      </w:tr>
      <w:tr>
        <w:trPr>
          <w:trHeight w:val="179" w:hRule="atLeast"/>
        </w:trPr>
        <w:tc>
          <w:tcPr>
            <w:tcW w:w="919" w:type="dxa"/>
          </w:tcPr>
          <w:p>
            <w:pPr>
              <w:pStyle w:val="TableParagraph"/>
              <w:spacing w:line="154" w:lineRule="exact" w:before="5"/>
              <w:ind w:right="59"/>
              <w:jc w:val="right"/>
              <w:rPr>
                <w:sz w:val="14"/>
              </w:rPr>
            </w:pPr>
            <w:r>
              <w:rPr>
                <w:w w:val="95"/>
                <w:sz w:val="14"/>
              </w:rPr>
              <w:t>21900034</w:t>
            </w:r>
          </w:p>
        </w:tc>
        <w:tc>
          <w:tcPr>
            <w:tcW w:w="2861" w:type="dxa"/>
          </w:tcPr>
          <w:p>
            <w:pPr>
              <w:pStyle w:val="TableParagraph"/>
              <w:spacing w:line="154" w:lineRule="exact" w:before="5"/>
              <w:ind w:left="69"/>
              <w:rPr>
                <w:sz w:val="14"/>
              </w:rPr>
            </w:pPr>
            <w:r>
              <w:rPr>
                <w:sz w:val="14"/>
              </w:rPr>
              <w:t>CLARINETE YAMAHA MOD.YCL-450</w:t>
            </w:r>
          </w:p>
        </w:tc>
        <w:tc>
          <w:tcPr>
            <w:tcW w:w="1001" w:type="dxa"/>
          </w:tcPr>
          <w:p>
            <w:pPr>
              <w:pStyle w:val="TableParagraph"/>
              <w:spacing w:line="154" w:lineRule="exact" w:before="5"/>
              <w:ind w:right="61"/>
              <w:jc w:val="right"/>
              <w:rPr>
                <w:sz w:val="14"/>
              </w:rPr>
            </w:pPr>
            <w:r>
              <w:rPr>
                <w:w w:val="95"/>
                <w:sz w:val="14"/>
              </w:rPr>
              <w:t>05/12/2018</w:t>
            </w:r>
          </w:p>
        </w:tc>
        <w:tc>
          <w:tcPr>
            <w:tcW w:w="579" w:type="dxa"/>
          </w:tcPr>
          <w:p>
            <w:pPr>
              <w:pStyle w:val="TableParagraph"/>
              <w:spacing w:line="154" w:lineRule="exact" w:before="5"/>
              <w:ind w:right="60"/>
              <w:jc w:val="right"/>
              <w:rPr>
                <w:sz w:val="14"/>
              </w:rPr>
            </w:pPr>
            <w:r>
              <w:rPr>
                <w:w w:val="95"/>
                <w:sz w:val="14"/>
              </w:rPr>
              <w:t>10,00</w:t>
            </w:r>
          </w:p>
        </w:tc>
        <w:tc>
          <w:tcPr>
            <w:tcW w:w="862" w:type="dxa"/>
          </w:tcPr>
          <w:p>
            <w:pPr>
              <w:pStyle w:val="TableParagraph"/>
              <w:spacing w:line="154" w:lineRule="exact" w:before="5"/>
              <w:ind w:right="62"/>
              <w:jc w:val="right"/>
              <w:rPr>
                <w:sz w:val="14"/>
              </w:rPr>
            </w:pPr>
            <w:r>
              <w:rPr>
                <w:sz w:val="14"/>
              </w:rPr>
              <w:t>828,00</w:t>
            </w:r>
          </w:p>
        </w:tc>
        <w:tc>
          <w:tcPr>
            <w:tcW w:w="1006" w:type="dxa"/>
          </w:tcPr>
          <w:p>
            <w:pPr>
              <w:pStyle w:val="TableParagraph"/>
              <w:spacing w:line="154" w:lineRule="exact" w:before="5"/>
              <w:ind w:right="63"/>
              <w:jc w:val="right"/>
              <w:rPr>
                <w:sz w:val="14"/>
              </w:rPr>
            </w:pPr>
            <w:r>
              <w:rPr>
                <w:w w:val="95"/>
                <w:sz w:val="14"/>
              </w:rPr>
              <w:t>82,80</w:t>
            </w:r>
          </w:p>
        </w:tc>
        <w:tc>
          <w:tcPr>
            <w:tcW w:w="939" w:type="dxa"/>
          </w:tcPr>
          <w:p>
            <w:pPr>
              <w:pStyle w:val="TableParagraph"/>
              <w:spacing w:line="154" w:lineRule="exact" w:before="5"/>
              <w:ind w:right="63"/>
              <w:jc w:val="right"/>
              <w:rPr>
                <w:sz w:val="14"/>
              </w:rPr>
            </w:pPr>
            <w:r>
              <w:rPr>
                <w:sz w:val="14"/>
              </w:rPr>
              <w:t>503,70</w:t>
            </w:r>
          </w:p>
        </w:tc>
        <w:tc>
          <w:tcPr>
            <w:tcW w:w="881" w:type="dxa"/>
          </w:tcPr>
          <w:p>
            <w:pPr>
              <w:pStyle w:val="TableParagraph"/>
              <w:spacing w:line="154" w:lineRule="exact" w:before="5"/>
              <w:ind w:right="64"/>
              <w:jc w:val="right"/>
              <w:rPr>
                <w:sz w:val="14"/>
              </w:rPr>
            </w:pPr>
            <w:r>
              <w:rPr>
                <w:sz w:val="14"/>
              </w:rPr>
              <w:t>324,30</w:t>
            </w:r>
          </w:p>
        </w:tc>
      </w:tr>
      <w:tr>
        <w:trPr>
          <w:trHeight w:val="179" w:hRule="atLeast"/>
        </w:trPr>
        <w:tc>
          <w:tcPr>
            <w:tcW w:w="919" w:type="dxa"/>
          </w:tcPr>
          <w:p>
            <w:pPr>
              <w:pStyle w:val="TableParagraph"/>
              <w:spacing w:line="152" w:lineRule="exact"/>
              <w:ind w:right="59"/>
              <w:jc w:val="right"/>
              <w:rPr>
                <w:sz w:val="14"/>
              </w:rPr>
            </w:pPr>
            <w:r>
              <w:rPr>
                <w:w w:val="95"/>
                <w:sz w:val="14"/>
              </w:rPr>
              <w:t>21900035</w:t>
            </w:r>
          </w:p>
        </w:tc>
        <w:tc>
          <w:tcPr>
            <w:tcW w:w="2861" w:type="dxa"/>
          </w:tcPr>
          <w:p>
            <w:pPr>
              <w:pStyle w:val="TableParagraph"/>
              <w:spacing w:line="152" w:lineRule="exact"/>
              <w:ind w:left="69"/>
              <w:rPr>
                <w:sz w:val="14"/>
              </w:rPr>
            </w:pPr>
            <w:r>
              <w:rPr>
                <w:sz w:val="14"/>
              </w:rPr>
              <w:t>SAXO ALTO YAMAHA YAS-280</w:t>
            </w:r>
          </w:p>
        </w:tc>
        <w:tc>
          <w:tcPr>
            <w:tcW w:w="1001" w:type="dxa"/>
          </w:tcPr>
          <w:p>
            <w:pPr>
              <w:pStyle w:val="TableParagraph"/>
              <w:spacing w:line="152" w:lineRule="exact"/>
              <w:ind w:right="61"/>
              <w:jc w:val="right"/>
              <w:rPr>
                <w:sz w:val="14"/>
              </w:rPr>
            </w:pPr>
            <w:r>
              <w:rPr>
                <w:w w:val="95"/>
                <w:sz w:val="14"/>
              </w:rPr>
              <w:t>05/12/2018</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sz w:val="14"/>
              </w:rPr>
              <w:t>850,00</w:t>
            </w:r>
          </w:p>
        </w:tc>
        <w:tc>
          <w:tcPr>
            <w:tcW w:w="1006" w:type="dxa"/>
          </w:tcPr>
          <w:p>
            <w:pPr>
              <w:pStyle w:val="TableParagraph"/>
              <w:spacing w:line="152" w:lineRule="exact"/>
              <w:ind w:right="63"/>
              <w:jc w:val="right"/>
              <w:rPr>
                <w:sz w:val="14"/>
              </w:rPr>
            </w:pPr>
            <w:r>
              <w:rPr>
                <w:w w:val="95"/>
                <w:sz w:val="14"/>
              </w:rPr>
              <w:t>85,00</w:t>
            </w:r>
          </w:p>
        </w:tc>
        <w:tc>
          <w:tcPr>
            <w:tcW w:w="939" w:type="dxa"/>
          </w:tcPr>
          <w:p>
            <w:pPr>
              <w:pStyle w:val="TableParagraph"/>
              <w:spacing w:line="152" w:lineRule="exact"/>
              <w:ind w:right="63"/>
              <w:jc w:val="right"/>
              <w:rPr>
                <w:sz w:val="14"/>
              </w:rPr>
            </w:pPr>
            <w:r>
              <w:rPr>
                <w:sz w:val="14"/>
              </w:rPr>
              <w:t>516,88</w:t>
            </w:r>
          </w:p>
        </w:tc>
        <w:tc>
          <w:tcPr>
            <w:tcW w:w="881" w:type="dxa"/>
          </w:tcPr>
          <w:p>
            <w:pPr>
              <w:pStyle w:val="TableParagraph"/>
              <w:spacing w:line="152" w:lineRule="exact"/>
              <w:ind w:right="64"/>
              <w:jc w:val="right"/>
              <w:rPr>
                <w:sz w:val="14"/>
              </w:rPr>
            </w:pPr>
            <w:r>
              <w:rPr>
                <w:sz w:val="14"/>
              </w:rPr>
              <w:t>333,12</w:t>
            </w:r>
          </w:p>
        </w:tc>
      </w:tr>
      <w:tr>
        <w:trPr>
          <w:trHeight w:val="179" w:hRule="atLeast"/>
        </w:trPr>
        <w:tc>
          <w:tcPr>
            <w:tcW w:w="919" w:type="dxa"/>
          </w:tcPr>
          <w:p>
            <w:pPr>
              <w:pStyle w:val="TableParagraph"/>
              <w:spacing w:line="152" w:lineRule="exact"/>
              <w:ind w:right="59"/>
              <w:jc w:val="right"/>
              <w:rPr>
                <w:sz w:val="14"/>
              </w:rPr>
            </w:pPr>
            <w:r>
              <w:rPr>
                <w:w w:val="95"/>
                <w:sz w:val="14"/>
              </w:rPr>
              <w:t>21900036</w:t>
            </w:r>
          </w:p>
        </w:tc>
        <w:tc>
          <w:tcPr>
            <w:tcW w:w="2861" w:type="dxa"/>
          </w:tcPr>
          <w:p>
            <w:pPr>
              <w:pStyle w:val="TableParagraph"/>
              <w:spacing w:line="152" w:lineRule="exact"/>
              <w:ind w:left="69"/>
              <w:rPr>
                <w:sz w:val="14"/>
              </w:rPr>
            </w:pPr>
            <w:r>
              <w:rPr>
                <w:sz w:val="14"/>
              </w:rPr>
              <w:t>FLAUTA YAMAHA YFL-282</w:t>
            </w:r>
          </w:p>
        </w:tc>
        <w:tc>
          <w:tcPr>
            <w:tcW w:w="1001" w:type="dxa"/>
          </w:tcPr>
          <w:p>
            <w:pPr>
              <w:pStyle w:val="TableParagraph"/>
              <w:spacing w:line="152" w:lineRule="exact"/>
              <w:ind w:right="61"/>
              <w:jc w:val="right"/>
              <w:rPr>
                <w:sz w:val="14"/>
              </w:rPr>
            </w:pPr>
            <w:r>
              <w:rPr>
                <w:w w:val="95"/>
                <w:sz w:val="14"/>
              </w:rPr>
              <w:t>05/12/2018</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sz w:val="14"/>
              </w:rPr>
              <w:t>540,00</w:t>
            </w:r>
          </w:p>
        </w:tc>
        <w:tc>
          <w:tcPr>
            <w:tcW w:w="1006" w:type="dxa"/>
          </w:tcPr>
          <w:p>
            <w:pPr>
              <w:pStyle w:val="TableParagraph"/>
              <w:spacing w:line="152" w:lineRule="exact"/>
              <w:ind w:right="63"/>
              <w:jc w:val="right"/>
              <w:rPr>
                <w:sz w:val="14"/>
              </w:rPr>
            </w:pPr>
            <w:r>
              <w:rPr>
                <w:w w:val="95"/>
                <w:sz w:val="14"/>
              </w:rPr>
              <w:t>54,00</w:t>
            </w:r>
          </w:p>
        </w:tc>
        <w:tc>
          <w:tcPr>
            <w:tcW w:w="939" w:type="dxa"/>
          </w:tcPr>
          <w:p>
            <w:pPr>
              <w:pStyle w:val="TableParagraph"/>
              <w:spacing w:line="152" w:lineRule="exact"/>
              <w:ind w:right="63"/>
              <w:jc w:val="right"/>
              <w:rPr>
                <w:sz w:val="14"/>
              </w:rPr>
            </w:pPr>
            <w:r>
              <w:rPr>
                <w:sz w:val="14"/>
              </w:rPr>
              <w:t>328,50</w:t>
            </w:r>
          </w:p>
        </w:tc>
        <w:tc>
          <w:tcPr>
            <w:tcW w:w="881" w:type="dxa"/>
          </w:tcPr>
          <w:p>
            <w:pPr>
              <w:pStyle w:val="TableParagraph"/>
              <w:spacing w:line="152" w:lineRule="exact"/>
              <w:ind w:right="64"/>
              <w:jc w:val="right"/>
              <w:rPr>
                <w:sz w:val="14"/>
              </w:rPr>
            </w:pPr>
            <w:r>
              <w:rPr>
                <w:sz w:val="14"/>
              </w:rPr>
              <w:t>211,50</w:t>
            </w:r>
          </w:p>
        </w:tc>
      </w:tr>
      <w:tr>
        <w:trPr>
          <w:trHeight w:val="179" w:hRule="atLeast"/>
        </w:trPr>
        <w:tc>
          <w:tcPr>
            <w:tcW w:w="919" w:type="dxa"/>
          </w:tcPr>
          <w:p>
            <w:pPr>
              <w:pStyle w:val="TableParagraph"/>
              <w:spacing w:line="152" w:lineRule="exact"/>
              <w:ind w:right="59"/>
              <w:jc w:val="right"/>
              <w:rPr>
                <w:sz w:val="14"/>
              </w:rPr>
            </w:pPr>
            <w:r>
              <w:rPr>
                <w:w w:val="95"/>
                <w:sz w:val="14"/>
              </w:rPr>
              <w:t>21900037</w:t>
            </w:r>
          </w:p>
        </w:tc>
        <w:tc>
          <w:tcPr>
            <w:tcW w:w="2861" w:type="dxa"/>
          </w:tcPr>
          <w:p>
            <w:pPr>
              <w:pStyle w:val="TableParagraph"/>
              <w:spacing w:line="152" w:lineRule="exact"/>
              <w:ind w:left="69"/>
              <w:rPr>
                <w:sz w:val="14"/>
              </w:rPr>
            </w:pPr>
            <w:r>
              <w:rPr>
                <w:sz w:val="14"/>
              </w:rPr>
              <w:t>CAÑAS SAXO ALTO</w:t>
            </w:r>
          </w:p>
        </w:tc>
        <w:tc>
          <w:tcPr>
            <w:tcW w:w="1001" w:type="dxa"/>
          </w:tcPr>
          <w:p>
            <w:pPr>
              <w:pStyle w:val="TableParagraph"/>
              <w:spacing w:line="152" w:lineRule="exact"/>
              <w:ind w:right="61"/>
              <w:jc w:val="right"/>
              <w:rPr>
                <w:sz w:val="14"/>
              </w:rPr>
            </w:pPr>
            <w:r>
              <w:rPr>
                <w:w w:val="95"/>
                <w:sz w:val="14"/>
              </w:rPr>
              <w:t>05/12/2018</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56,80</w:t>
            </w:r>
          </w:p>
        </w:tc>
        <w:tc>
          <w:tcPr>
            <w:tcW w:w="1006" w:type="dxa"/>
          </w:tcPr>
          <w:p>
            <w:pPr>
              <w:pStyle w:val="TableParagraph"/>
              <w:spacing w:line="152" w:lineRule="exact"/>
              <w:ind w:right="63"/>
              <w:jc w:val="right"/>
              <w:rPr>
                <w:sz w:val="14"/>
              </w:rPr>
            </w:pPr>
            <w:r>
              <w:rPr>
                <w:sz w:val="14"/>
              </w:rPr>
              <w:t>5,68</w:t>
            </w:r>
          </w:p>
        </w:tc>
        <w:tc>
          <w:tcPr>
            <w:tcW w:w="939" w:type="dxa"/>
          </w:tcPr>
          <w:p>
            <w:pPr>
              <w:pStyle w:val="TableParagraph"/>
              <w:spacing w:line="152" w:lineRule="exact"/>
              <w:ind w:right="63"/>
              <w:jc w:val="right"/>
              <w:rPr>
                <w:sz w:val="14"/>
              </w:rPr>
            </w:pPr>
            <w:r>
              <w:rPr>
                <w:w w:val="95"/>
                <w:sz w:val="14"/>
              </w:rPr>
              <w:t>34,35</w:t>
            </w:r>
          </w:p>
        </w:tc>
        <w:tc>
          <w:tcPr>
            <w:tcW w:w="881" w:type="dxa"/>
          </w:tcPr>
          <w:p>
            <w:pPr>
              <w:pStyle w:val="TableParagraph"/>
              <w:spacing w:line="152" w:lineRule="exact"/>
              <w:ind w:right="64"/>
              <w:jc w:val="right"/>
              <w:rPr>
                <w:sz w:val="14"/>
              </w:rPr>
            </w:pPr>
            <w:r>
              <w:rPr>
                <w:w w:val="95"/>
                <w:sz w:val="14"/>
              </w:rPr>
              <w:t>22,45</w:t>
            </w:r>
          </w:p>
        </w:tc>
      </w:tr>
      <w:tr>
        <w:trPr>
          <w:trHeight w:val="179" w:hRule="atLeast"/>
        </w:trPr>
        <w:tc>
          <w:tcPr>
            <w:tcW w:w="919" w:type="dxa"/>
          </w:tcPr>
          <w:p>
            <w:pPr>
              <w:pStyle w:val="TableParagraph"/>
              <w:spacing w:line="152" w:lineRule="exact"/>
              <w:ind w:right="59"/>
              <w:jc w:val="right"/>
              <w:rPr>
                <w:sz w:val="14"/>
              </w:rPr>
            </w:pPr>
            <w:r>
              <w:rPr>
                <w:w w:val="95"/>
                <w:sz w:val="14"/>
              </w:rPr>
              <w:t>21900038</w:t>
            </w:r>
          </w:p>
        </w:tc>
        <w:tc>
          <w:tcPr>
            <w:tcW w:w="2861" w:type="dxa"/>
          </w:tcPr>
          <w:p>
            <w:pPr>
              <w:pStyle w:val="TableParagraph"/>
              <w:spacing w:line="152" w:lineRule="exact"/>
              <w:ind w:left="69"/>
              <w:rPr>
                <w:sz w:val="14"/>
              </w:rPr>
            </w:pPr>
            <w:r>
              <w:rPr>
                <w:sz w:val="14"/>
              </w:rPr>
              <w:t>BANQUETA PIANO FC</w:t>
            </w:r>
          </w:p>
        </w:tc>
        <w:tc>
          <w:tcPr>
            <w:tcW w:w="1001" w:type="dxa"/>
          </w:tcPr>
          <w:p>
            <w:pPr>
              <w:pStyle w:val="TableParagraph"/>
              <w:spacing w:line="152" w:lineRule="exact"/>
              <w:ind w:right="61"/>
              <w:jc w:val="right"/>
              <w:rPr>
                <w:sz w:val="14"/>
              </w:rPr>
            </w:pPr>
            <w:r>
              <w:rPr>
                <w:w w:val="95"/>
                <w:sz w:val="14"/>
              </w:rPr>
              <w:t>05/12/2018</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98,00</w:t>
            </w:r>
          </w:p>
        </w:tc>
        <w:tc>
          <w:tcPr>
            <w:tcW w:w="1006" w:type="dxa"/>
          </w:tcPr>
          <w:p>
            <w:pPr>
              <w:pStyle w:val="TableParagraph"/>
              <w:spacing w:line="152" w:lineRule="exact"/>
              <w:ind w:right="63"/>
              <w:jc w:val="right"/>
              <w:rPr>
                <w:sz w:val="14"/>
              </w:rPr>
            </w:pPr>
            <w:r>
              <w:rPr>
                <w:sz w:val="14"/>
              </w:rPr>
              <w:t>9,80</w:t>
            </w:r>
          </w:p>
        </w:tc>
        <w:tc>
          <w:tcPr>
            <w:tcW w:w="939" w:type="dxa"/>
          </w:tcPr>
          <w:p>
            <w:pPr>
              <w:pStyle w:val="TableParagraph"/>
              <w:spacing w:line="152" w:lineRule="exact"/>
              <w:ind w:right="63"/>
              <w:jc w:val="right"/>
              <w:rPr>
                <w:sz w:val="14"/>
              </w:rPr>
            </w:pPr>
            <w:r>
              <w:rPr>
                <w:w w:val="95"/>
                <w:sz w:val="14"/>
              </w:rPr>
              <w:t>59,82</w:t>
            </w:r>
          </w:p>
        </w:tc>
        <w:tc>
          <w:tcPr>
            <w:tcW w:w="881" w:type="dxa"/>
          </w:tcPr>
          <w:p>
            <w:pPr>
              <w:pStyle w:val="TableParagraph"/>
              <w:spacing w:line="152" w:lineRule="exact"/>
              <w:ind w:right="64"/>
              <w:jc w:val="right"/>
              <w:rPr>
                <w:sz w:val="14"/>
              </w:rPr>
            </w:pPr>
            <w:r>
              <w:rPr>
                <w:w w:val="95"/>
                <w:sz w:val="14"/>
              </w:rPr>
              <w:t>38,18</w:t>
            </w:r>
          </w:p>
        </w:tc>
      </w:tr>
      <w:tr>
        <w:trPr>
          <w:trHeight w:val="182" w:hRule="atLeast"/>
        </w:trPr>
        <w:tc>
          <w:tcPr>
            <w:tcW w:w="919" w:type="dxa"/>
          </w:tcPr>
          <w:p>
            <w:pPr>
              <w:pStyle w:val="TableParagraph"/>
              <w:spacing w:line="154" w:lineRule="exact"/>
              <w:ind w:right="59"/>
              <w:jc w:val="right"/>
              <w:rPr>
                <w:sz w:val="14"/>
              </w:rPr>
            </w:pPr>
            <w:r>
              <w:rPr>
                <w:w w:val="95"/>
                <w:sz w:val="14"/>
              </w:rPr>
              <w:t>21900039</w:t>
            </w:r>
          </w:p>
        </w:tc>
        <w:tc>
          <w:tcPr>
            <w:tcW w:w="2861" w:type="dxa"/>
          </w:tcPr>
          <w:p>
            <w:pPr>
              <w:pStyle w:val="TableParagraph"/>
              <w:spacing w:line="154" w:lineRule="exact"/>
              <w:ind w:left="69"/>
              <w:rPr>
                <w:sz w:val="14"/>
              </w:rPr>
            </w:pPr>
            <w:r>
              <w:rPr>
                <w:sz w:val="14"/>
              </w:rPr>
              <w:t>RADIADOR DELONGHI TRRS092</w:t>
            </w:r>
          </w:p>
        </w:tc>
        <w:tc>
          <w:tcPr>
            <w:tcW w:w="1001" w:type="dxa"/>
          </w:tcPr>
          <w:p>
            <w:pPr>
              <w:pStyle w:val="TableParagraph"/>
              <w:spacing w:line="154" w:lineRule="exact"/>
              <w:ind w:right="61"/>
              <w:jc w:val="right"/>
              <w:rPr>
                <w:sz w:val="14"/>
              </w:rPr>
            </w:pPr>
            <w:r>
              <w:rPr>
                <w:w w:val="95"/>
                <w:sz w:val="14"/>
              </w:rPr>
              <w:t>07/02/2019</w:t>
            </w:r>
          </w:p>
        </w:tc>
        <w:tc>
          <w:tcPr>
            <w:tcW w:w="579" w:type="dxa"/>
          </w:tcPr>
          <w:p>
            <w:pPr>
              <w:pStyle w:val="TableParagraph"/>
              <w:spacing w:line="154" w:lineRule="exact"/>
              <w:ind w:right="60"/>
              <w:jc w:val="right"/>
              <w:rPr>
                <w:sz w:val="14"/>
              </w:rPr>
            </w:pPr>
            <w:r>
              <w:rPr>
                <w:w w:val="95"/>
                <w:sz w:val="14"/>
              </w:rPr>
              <w:t>10,00</w:t>
            </w:r>
          </w:p>
        </w:tc>
        <w:tc>
          <w:tcPr>
            <w:tcW w:w="862" w:type="dxa"/>
          </w:tcPr>
          <w:p>
            <w:pPr>
              <w:pStyle w:val="TableParagraph"/>
              <w:spacing w:line="154" w:lineRule="exact"/>
              <w:ind w:right="62"/>
              <w:jc w:val="right"/>
              <w:rPr>
                <w:sz w:val="14"/>
              </w:rPr>
            </w:pPr>
            <w:r>
              <w:rPr>
                <w:sz w:val="14"/>
              </w:rPr>
              <w:t>119,00</w:t>
            </w:r>
          </w:p>
        </w:tc>
        <w:tc>
          <w:tcPr>
            <w:tcW w:w="1006" w:type="dxa"/>
          </w:tcPr>
          <w:p>
            <w:pPr>
              <w:pStyle w:val="TableParagraph"/>
              <w:spacing w:line="154" w:lineRule="exact"/>
              <w:ind w:right="63"/>
              <w:jc w:val="right"/>
              <w:rPr>
                <w:sz w:val="14"/>
              </w:rPr>
            </w:pPr>
            <w:r>
              <w:rPr>
                <w:w w:val="95"/>
                <w:sz w:val="14"/>
              </w:rPr>
              <w:t>11,90</w:t>
            </w:r>
          </w:p>
        </w:tc>
        <w:tc>
          <w:tcPr>
            <w:tcW w:w="939" w:type="dxa"/>
          </w:tcPr>
          <w:p>
            <w:pPr>
              <w:pStyle w:val="TableParagraph"/>
              <w:spacing w:line="154" w:lineRule="exact"/>
              <w:ind w:right="63"/>
              <w:jc w:val="right"/>
              <w:rPr>
                <w:sz w:val="14"/>
              </w:rPr>
            </w:pPr>
            <w:r>
              <w:rPr>
                <w:w w:val="95"/>
                <w:sz w:val="14"/>
              </w:rPr>
              <w:t>70,31</w:t>
            </w:r>
          </w:p>
        </w:tc>
        <w:tc>
          <w:tcPr>
            <w:tcW w:w="881" w:type="dxa"/>
          </w:tcPr>
          <w:p>
            <w:pPr>
              <w:pStyle w:val="TableParagraph"/>
              <w:spacing w:line="154" w:lineRule="exact"/>
              <w:ind w:right="64"/>
              <w:jc w:val="right"/>
              <w:rPr>
                <w:sz w:val="14"/>
              </w:rPr>
            </w:pPr>
            <w:r>
              <w:rPr>
                <w:w w:val="95"/>
                <w:sz w:val="14"/>
              </w:rPr>
              <w:t>48,69</w:t>
            </w:r>
          </w:p>
        </w:tc>
      </w:tr>
      <w:tr>
        <w:trPr>
          <w:trHeight w:val="179" w:hRule="atLeast"/>
        </w:trPr>
        <w:tc>
          <w:tcPr>
            <w:tcW w:w="919" w:type="dxa"/>
          </w:tcPr>
          <w:p>
            <w:pPr>
              <w:pStyle w:val="TableParagraph"/>
              <w:spacing w:line="154" w:lineRule="exact" w:before="5"/>
              <w:ind w:right="59"/>
              <w:jc w:val="right"/>
              <w:rPr>
                <w:sz w:val="14"/>
              </w:rPr>
            </w:pPr>
            <w:r>
              <w:rPr>
                <w:w w:val="95"/>
                <w:sz w:val="14"/>
              </w:rPr>
              <w:t>21900040</w:t>
            </w:r>
          </w:p>
        </w:tc>
        <w:tc>
          <w:tcPr>
            <w:tcW w:w="2861" w:type="dxa"/>
          </w:tcPr>
          <w:p>
            <w:pPr>
              <w:pStyle w:val="TableParagraph"/>
              <w:spacing w:line="154" w:lineRule="exact" w:before="5"/>
              <w:ind w:left="69"/>
              <w:rPr>
                <w:sz w:val="14"/>
              </w:rPr>
            </w:pPr>
            <w:r>
              <w:rPr>
                <w:sz w:val="14"/>
              </w:rPr>
              <w:t>DESHUMIFICADOR KYMPO</w:t>
            </w:r>
          </w:p>
        </w:tc>
        <w:tc>
          <w:tcPr>
            <w:tcW w:w="1001" w:type="dxa"/>
          </w:tcPr>
          <w:p>
            <w:pPr>
              <w:pStyle w:val="TableParagraph"/>
              <w:spacing w:line="154" w:lineRule="exact" w:before="5"/>
              <w:ind w:right="61"/>
              <w:jc w:val="right"/>
              <w:rPr>
                <w:sz w:val="14"/>
              </w:rPr>
            </w:pPr>
            <w:r>
              <w:rPr>
                <w:w w:val="95"/>
                <w:sz w:val="14"/>
              </w:rPr>
              <w:t>07/02/2019</w:t>
            </w:r>
          </w:p>
        </w:tc>
        <w:tc>
          <w:tcPr>
            <w:tcW w:w="579" w:type="dxa"/>
          </w:tcPr>
          <w:p>
            <w:pPr>
              <w:pStyle w:val="TableParagraph"/>
              <w:spacing w:line="154" w:lineRule="exact" w:before="5"/>
              <w:ind w:right="60"/>
              <w:jc w:val="right"/>
              <w:rPr>
                <w:sz w:val="14"/>
              </w:rPr>
            </w:pPr>
            <w:r>
              <w:rPr>
                <w:w w:val="95"/>
                <w:sz w:val="14"/>
              </w:rPr>
              <w:t>10,00</w:t>
            </w:r>
          </w:p>
        </w:tc>
        <w:tc>
          <w:tcPr>
            <w:tcW w:w="862" w:type="dxa"/>
          </w:tcPr>
          <w:p>
            <w:pPr>
              <w:pStyle w:val="TableParagraph"/>
              <w:spacing w:line="154" w:lineRule="exact" w:before="5"/>
              <w:ind w:right="62"/>
              <w:jc w:val="right"/>
              <w:rPr>
                <w:sz w:val="14"/>
              </w:rPr>
            </w:pPr>
            <w:r>
              <w:rPr>
                <w:sz w:val="14"/>
              </w:rPr>
              <w:t>109,00</w:t>
            </w:r>
          </w:p>
        </w:tc>
        <w:tc>
          <w:tcPr>
            <w:tcW w:w="1006" w:type="dxa"/>
          </w:tcPr>
          <w:p>
            <w:pPr>
              <w:pStyle w:val="TableParagraph"/>
              <w:spacing w:line="154" w:lineRule="exact" w:before="5"/>
              <w:ind w:right="63"/>
              <w:jc w:val="right"/>
              <w:rPr>
                <w:sz w:val="14"/>
              </w:rPr>
            </w:pPr>
            <w:r>
              <w:rPr>
                <w:w w:val="95"/>
                <w:sz w:val="14"/>
              </w:rPr>
              <w:t>10,90</w:t>
            </w:r>
          </w:p>
        </w:tc>
        <w:tc>
          <w:tcPr>
            <w:tcW w:w="939" w:type="dxa"/>
          </w:tcPr>
          <w:p>
            <w:pPr>
              <w:pStyle w:val="TableParagraph"/>
              <w:spacing w:line="154" w:lineRule="exact" w:before="5"/>
              <w:ind w:right="63"/>
              <w:jc w:val="right"/>
              <w:rPr>
                <w:sz w:val="14"/>
              </w:rPr>
            </w:pPr>
            <w:r>
              <w:rPr>
                <w:w w:val="95"/>
                <w:sz w:val="14"/>
              </w:rPr>
              <w:t>64,59</w:t>
            </w:r>
          </w:p>
        </w:tc>
        <w:tc>
          <w:tcPr>
            <w:tcW w:w="881" w:type="dxa"/>
          </w:tcPr>
          <w:p>
            <w:pPr>
              <w:pStyle w:val="TableParagraph"/>
              <w:spacing w:line="154" w:lineRule="exact" w:before="5"/>
              <w:ind w:right="64"/>
              <w:jc w:val="right"/>
              <w:rPr>
                <w:sz w:val="14"/>
              </w:rPr>
            </w:pPr>
            <w:r>
              <w:rPr>
                <w:w w:val="95"/>
                <w:sz w:val="14"/>
              </w:rPr>
              <w:t>44,41</w:t>
            </w:r>
          </w:p>
        </w:tc>
      </w:tr>
      <w:tr>
        <w:trPr>
          <w:trHeight w:val="179" w:hRule="atLeast"/>
        </w:trPr>
        <w:tc>
          <w:tcPr>
            <w:tcW w:w="919" w:type="dxa"/>
          </w:tcPr>
          <w:p>
            <w:pPr>
              <w:pStyle w:val="TableParagraph"/>
              <w:spacing w:line="152" w:lineRule="exact"/>
              <w:ind w:right="59"/>
              <w:jc w:val="right"/>
              <w:rPr>
                <w:sz w:val="14"/>
              </w:rPr>
            </w:pPr>
            <w:r>
              <w:rPr>
                <w:w w:val="95"/>
                <w:sz w:val="14"/>
              </w:rPr>
              <w:t>21900041</w:t>
            </w:r>
          </w:p>
        </w:tc>
        <w:tc>
          <w:tcPr>
            <w:tcW w:w="2861" w:type="dxa"/>
          </w:tcPr>
          <w:p>
            <w:pPr>
              <w:pStyle w:val="TableParagraph"/>
              <w:spacing w:line="152" w:lineRule="exact"/>
              <w:ind w:left="69"/>
              <w:rPr>
                <w:sz w:val="14"/>
              </w:rPr>
            </w:pPr>
            <w:r>
              <w:rPr>
                <w:sz w:val="14"/>
              </w:rPr>
              <w:t>2 FLAUTAS TRAV YAMAHA YFL262</w:t>
            </w:r>
          </w:p>
        </w:tc>
        <w:tc>
          <w:tcPr>
            <w:tcW w:w="1001" w:type="dxa"/>
          </w:tcPr>
          <w:p>
            <w:pPr>
              <w:pStyle w:val="TableParagraph"/>
              <w:spacing w:line="152" w:lineRule="exact"/>
              <w:ind w:right="61"/>
              <w:jc w:val="right"/>
              <w:rPr>
                <w:sz w:val="14"/>
              </w:rPr>
            </w:pPr>
            <w:r>
              <w:rPr>
                <w:w w:val="95"/>
                <w:sz w:val="14"/>
              </w:rPr>
              <w:t>02/06/2021</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1.119,97</w:t>
            </w:r>
          </w:p>
        </w:tc>
        <w:tc>
          <w:tcPr>
            <w:tcW w:w="1006" w:type="dxa"/>
          </w:tcPr>
          <w:p>
            <w:pPr>
              <w:pStyle w:val="TableParagraph"/>
              <w:spacing w:line="152" w:lineRule="exact"/>
              <w:ind w:right="63"/>
              <w:jc w:val="right"/>
              <w:rPr>
                <w:sz w:val="14"/>
              </w:rPr>
            </w:pPr>
            <w:r>
              <w:rPr>
                <w:sz w:val="14"/>
              </w:rPr>
              <w:t>112,00</w:t>
            </w:r>
          </w:p>
        </w:tc>
        <w:tc>
          <w:tcPr>
            <w:tcW w:w="939" w:type="dxa"/>
          </w:tcPr>
          <w:p>
            <w:pPr>
              <w:pStyle w:val="TableParagraph"/>
              <w:spacing w:line="152" w:lineRule="exact"/>
              <w:ind w:right="63"/>
              <w:jc w:val="right"/>
              <w:rPr>
                <w:sz w:val="14"/>
              </w:rPr>
            </w:pPr>
            <w:r>
              <w:rPr>
                <w:sz w:val="14"/>
              </w:rPr>
              <w:t>401,23</w:t>
            </w:r>
          </w:p>
        </w:tc>
        <w:tc>
          <w:tcPr>
            <w:tcW w:w="881" w:type="dxa"/>
          </w:tcPr>
          <w:p>
            <w:pPr>
              <w:pStyle w:val="TableParagraph"/>
              <w:spacing w:line="152" w:lineRule="exact"/>
              <w:ind w:right="64"/>
              <w:jc w:val="right"/>
              <w:rPr>
                <w:sz w:val="14"/>
              </w:rPr>
            </w:pPr>
            <w:r>
              <w:rPr>
                <w:sz w:val="14"/>
              </w:rPr>
              <w:t>718,74</w:t>
            </w:r>
          </w:p>
        </w:tc>
      </w:tr>
      <w:tr>
        <w:trPr>
          <w:trHeight w:val="179" w:hRule="atLeast"/>
        </w:trPr>
        <w:tc>
          <w:tcPr>
            <w:tcW w:w="919" w:type="dxa"/>
          </w:tcPr>
          <w:p>
            <w:pPr>
              <w:pStyle w:val="TableParagraph"/>
              <w:spacing w:line="152" w:lineRule="exact"/>
              <w:ind w:right="59"/>
              <w:jc w:val="right"/>
              <w:rPr>
                <w:sz w:val="14"/>
              </w:rPr>
            </w:pPr>
            <w:r>
              <w:rPr>
                <w:w w:val="95"/>
                <w:sz w:val="14"/>
              </w:rPr>
              <w:t>21900042</w:t>
            </w:r>
          </w:p>
        </w:tc>
        <w:tc>
          <w:tcPr>
            <w:tcW w:w="2861" w:type="dxa"/>
          </w:tcPr>
          <w:p>
            <w:pPr>
              <w:pStyle w:val="TableParagraph"/>
              <w:spacing w:line="152" w:lineRule="exact"/>
              <w:ind w:left="69"/>
              <w:rPr>
                <w:sz w:val="14"/>
              </w:rPr>
            </w:pPr>
            <w:r>
              <w:rPr>
                <w:sz w:val="14"/>
              </w:rPr>
              <w:t>FLATA YAMAHA YFL261</w:t>
            </w:r>
          </w:p>
        </w:tc>
        <w:tc>
          <w:tcPr>
            <w:tcW w:w="1001" w:type="dxa"/>
          </w:tcPr>
          <w:p>
            <w:pPr>
              <w:pStyle w:val="TableParagraph"/>
              <w:spacing w:line="152" w:lineRule="exact"/>
              <w:ind w:right="61"/>
              <w:jc w:val="right"/>
              <w:rPr>
                <w:sz w:val="14"/>
              </w:rPr>
            </w:pPr>
            <w:r>
              <w:rPr>
                <w:w w:val="95"/>
                <w:sz w:val="14"/>
              </w:rPr>
              <w:t>26/09/2022</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sz w:val="14"/>
              </w:rPr>
              <w:t>246,10</w:t>
            </w:r>
          </w:p>
        </w:tc>
        <w:tc>
          <w:tcPr>
            <w:tcW w:w="1006" w:type="dxa"/>
          </w:tcPr>
          <w:p>
            <w:pPr>
              <w:pStyle w:val="TableParagraph"/>
              <w:spacing w:line="152" w:lineRule="exact"/>
              <w:ind w:right="63"/>
              <w:jc w:val="right"/>
              <w:rPr>
                <w:sz w:val="14"/>
              </w:rPr>
            </w:pPr>
            <w:r>
              <w:rPr>
                <w:w w:val="95"/>
                <w:sz w:val="14"/>
              </w:rPr>
              <w:t>24,61</w:t>
            </w:r>
          </w:p>
        </w:tc>
        <w:tc>
          <w:tcPr>
            <w:tcW w:w="939" w:type="dxa"/>
          </w:tcPr>
          <w:p>
            <w:pPr>
              <w:pStyle w:val="TableParagraph"/>
              <w:spacing w:line="152" w:lineRule="exact"/>
              <w:ind w:right="63"/>
              <w:jc w:val="right"/>
              <w:rPr>
                <w:sz w:val="14"/>
              </w:rPr>
            </w:pPr>
            <w:r>
              <w:rPr>
                <w:w w:val="95"/>
                <w:sz w:val="14"/>
              </w:rPr>
              <w:t>55,36</w:t>
            </w:r>
          </w:p>
        </w:tc>
        <w:tc>
          <w:tcPr>
            <w:tcW w:w="881" w:type="dxa"/>
          </w:tcPr>
          <w:p>
            <w:pPr>
              <w:pStyle w:val="TableParagraph"/>
              <w:spacing w:line="152" w:lineRule="exact"/>
              <w:ind w:right="64"/>
              <w:jc w:val="right"/>
              <w:rPr>
                <w:sz w:val="14"/>
              </w:rPr>
            </w:pPr>
            <w:r>
              <w:rPr>
                <w:sz w:val="14"/>
              </w:rPr>
              <w:t>190,74</w:t>
            </w:r>
          </w:p>
        </w:tc>
      </w:tr>
      <w:tr>
        <w:trPr>
          <w:trHeight w:val="179" w:hRule="atLeast"/>
        </w:trPr>
        <w:tc>
          <w:tcPr>
            <w:tcW w:w="919" w:type="dxa"/>
          </w:tcPr>
          <w:p>
            <w:pPr>
              <w:pStyle w:val="TableParagraph"/>
              <w:spacing w:line="152" w:lineRule="exact"/>
              <w:ind w:right="59"/>
              <w:jc w:val="right"/>
              <w:rPr>
                <w:sz w:val="14"/>
              </w:rPr>
            </w:pPr>
            <w:r>
              <w:rPr>
                <w:w w:val="95"/>
                <w:sz w:val="14"/>
              </w:rPr>
              <w:t>21900043</w:t>
            </w:r>
          </w:p>
        </w:tc>
        <w:tc>
          <w:tcPr>
            <w:tcW w:w="2861" w:type="dxa"/>
          </w:tcPr>
          <w:p>
            <w:pPr>
              <w:pStyle w:val="TableParagraph"/>
              <w:spacing w:line="152" w:lineRule="exact"/>
              <w:ind w:left="69"/>
              <w:rPr>
                <w:sz w:val="14"/>
              </w:rPr>
            </w:pPr>
            <w:r>
              <w:rPr>
                <w:sz w:val="14"/>
              </w:rPr>
              <w:t>INSTRUMENTOS VARIOS MUSICANA</w:t>
            </w:r>
          </w:p>
        </w:tc>
        <w:tc>
          <w:tcPr>
            <w:tcW w:w="1001" w:type="dxa"/>
          </w:tcPr>
          <w:p>
            <w:pPr>
              <w:pStyle w:val="TableParagraph"/>
              <w:spacing w:line="152" w:lineRule="exact"/>
              <w:ind w:right="61"/>
              <w:jc w:val="right"/>
              <w:rPr>
                <w:sz w:val="14"/>
              </w:rPr>
            </w:pPr>
            <w:r>
              <w:rPr>
                <w:w w:val="95"/>
                <w:sz w:val="14"/>
              </w:rPr>
              <w:t>25/11/2022</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6.298,99</w:t>
            </w:r>
          </w:p>
        </w:tc>
        <w:tc>
          <w:tcPr>
            <w:tcW w:w="1006" w:type="dxa"/>
          </w:tcPr>
          <w:p>
            <w:pPr>
              <w:pStyle w:val="TableParagraph"/>
              <w:spacing w:line="152" w:lineRule="exact"/>
              <w:ind w:right="63"/>
              <w:jc w:val="right"/>
              <w:rPr>
                <w:sz w:val="14"/>
              </w:rPr>
            </w:pPr>
            <w:r>
              <w:rPr>
                <w:sz w:val="14"/>
              </w:rPr>
              <w:t>629,90</w:t>
            </w:r>
          </w:p>
        </w:tc>
        <w:tc>
          <w:tcPr>
            <w:tcW w:w="939" w:type="dxa"/>
          </w:tcPr>
          <w:p>
            <w:pPr>
              <w:pStyle w:val="TableParagraph"/>
              <w:spacing w:line="152" w:lineRule="exact"/>
              <w:ind w:right="63"/>
              <w:jc w:val="right"/>
              <w:rPr>
                <w:sz w:val="14"/>
              </w:rPr>
            </w:pPr>
            <w:r>
              <w:rPr>
                <w:w w:val="95"/>
                <w:sz w:val="14"/>
              </w:rPr>
              <w:t>1.312,27</w:t>
            </w:r>
          </w:p>
        </w:tc>
        <w:tc>
          <w:tcPr>
            <w:tcW w:w="881" w:type="dxa"/>
          </w:tcPr>
          <w:p>
            <w:pPr>
              <w:pStyle w:val="TableParagraph"/>
              <w:spacing w:line="152" w:lineRule="exact"/>
              <w:ind w:right="64"/>
              <w:jc w:val="right"/>
              <w:rPr>
                <w:sz w:val="14"/>
              </w:rPr>
            </w:pPr>
            <w:r>
              <w:rPr>
                <w:w w:val="95"/>
                <w:sz w:val="14"/>
              </w:rPr>
              <w:t>4.986,72</w:t>
            </w:r>
          </w:p>
        </w:tc>
      </w:tr>
      <w:tr>
        <w:trPr>
          <w:trHeight w:val="179" w:hRule="atLeast"/>
        </w:trPr>
        <w:tc>
          <w:tcPr>
            <w:tcW w:w="919" w:type="dxa"/>
          </w:tcPr>
          <w:p>
            <w:pPr>
              <w:pStyle w:val="TableParagraph"/>
              <w:spacing w:line="152" w:lineRule="exact"/>
              <w:ind w:right="59"/>
              <w:jc w:val="right"/>
              <w:rPr>
                <w:sz w:val="14"/>
              </w:rPr>
            </w:pPr>
            <w:r>
              <w:rPr>
                <w:w w:val="95"/>
                <w:sz w:val="14"/>
              </w:rPr>
              <w:t>21900044</w:t>
            </w:r>
          </w:p>
        </w:tc>
        <w:tc>
          <w:tcPr>
            <w:tcW w:w="2861" w:type="dxa"/>
          </w:tcPr>
          <w:p>
            <w:pPr>
              <w:pStyle w:val="TableParagraph"/>
              <w:spacing w:line="152" w:lineRule="exact"/>
              <w:ind w:left="69"/>
              <w:rPr>
                <w:sz w:val="14"/>
              </w:rPr>
            </w:pPr>
            <w:r>
              <w:rPr>
                <w:sz w:val="14"/>
              </w:rPr>
              <w:t>16 SET VIOLIN AMADEUS</w:t>
            </w:r>
          </w:p>
        </w:tc>
        <w:tc>
          <w:tcPr>
            <w:tcW w:w="1001" w:type="dxa"/>
          </w:tcPr>
          <w:p>
            <w:pPr>
              <w:pStyle w:val="TableParagraph"/>
              <w:spacing w:line="152" w:lineRule="exact"/>
              <w:ind w:right="61"/>
              <w:jc w:val="right"/>
              <w:rPr>
                <w:sz w:val="14"/>
              </w:rPr>
            </w:pPr>
            <w:r>
              <w:rPr>
                <w:w w:val="95"/>
                <w:sz w:val="14"/>
              </w:rPr>
              <w:t>21/09/2023</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w w:val="95"/>
                <w:sz w:val="14"/>
              </w:rPr>
              <w:t>1.071,40</w:t>
            </w:r>
          </w:p>
        </w:tc>
        <w:tc>
          <w:tcPr>
            <w:tcW w:w="1006" w:type="dxa"/>
          </w:tcPr>
          <w:p>
            <w:pPr>
              <w:pStyle w:val="TableParagraph"/>
              <w:spacing w:line="152" w:lineRule="exact"/>
              <w:ind w:right="63"/>
              <w:jc w:val="right"/>
              <w:rPr>
                <w:sz w:val="14"/>
              </w:rPr>
            </w:pPr>
            <w:r>
              <w:rPr>
                <w:sz w:val="14"/>
              </w:rPr>
              <w:t>107,14</w:t>
            </w:r>
          </w:p>
        </w:tc>
        <w:tc>
          <w:tcPr>
            <w:tcW w:w="939" w:type="dxa"/>
          </w:tcPr>
          <w:p>
            <w:pPr>
              <w:pStyle w:val="TableParagraph"/>
              <w:spacing w:line="152" w:lineRule="exact"/>
              <w:ind w:right="63"/>
              <w:jc w:val="right"/>
              <w:rPr>
                <w:sz w:val="14"/>
              </w:rPr>
            </w:pPr>
            <w:r>
              <w:rPr>
                <w:sz w:val="14"/>
              </w:rPr>
              <w:t>133,93</w:t>
            </w:r>
          </w:p>
        </w:tc>
        <w:tc>
          <w:tcPr>
            <w:tcW w:w="881" w:type="dxa"/>
          </w:tcPr>
          <w:p>
            <w:pPr>
              <w:pStyle w:val="TableParagraph"/>
              <w:spacing w:line="152" w:lineRule="exact"/>
              <w:ind w:right="64"/>
              <w:jc w:val="right"/>
              <w:rPr>
                <w:sz w:val="14"/>
              </w:rPr>
            </w:pPr>
            <w:r>
              <w:rPr>
                <w:sz w:val="14"/>
              </w:rPr>
              <w:t>937,47</w:t>
            </w:r>
          </w:p>
        </w:tc>
      </w:tr>
      <w:tr>
        <w:trPr>
          <w:trHeight w:val="182" w:hRule="atLeast"/>
        </w:trPr>
        <w:tc>
          <w:tcPr>
            <w:tcW w:w="919" w:type="dxa"/>
          </w:tcPr>
          <w:p>
            <w:pPr>
              <w:pStyle w:val="TableParagraph"/>
              <w:spacing w:line="154" w:lineRule="exact"/>
              <w:ind w:right="59"/>
              <w:jc w:val="right"/>
              <w:rPr>
                <w:sz w:val="14"/>
              </w:rPr>
            </w:pPr>
            <w:r>
              <w:rPr>
                <w:w w:val="95"/>
                <w:sz w:val="14"/>
              </w:rPr>
              <w:t>21900045</w:t>
            </w:r>
          </w:p>
        </w:tc>
        <w:tc>
          <w:tcPr>
            <w:tcW w:w="2861" w:type="dxa"/>
          </w:tcPr>
          <w:p>
            <w:pPr>
              <w:pStyle w:val="TableParagraph"/>
              <w:spacing w:line="154" w:lineRule="exact"/>
              <w:ind w:left="69"/>
              <w:rPr>
                <w:sz w:val="14"/>
              </w:rPr>
            </w:pPr>
            <w:r>
              <w:rPr>
                <w:sz w:val="14"/>
              </w:rPr>
              <w:t>3 SAXOS ALOTO CONN AS-501</w:t>
            </w:r>
          </w:p>
        </w:tc>
        <w:tc>
          <w:tcPr>
            <w:tcW w:w="1001" w:type="dxa"/>
          </w:tcPr>
          <w:p>
            <w:pPr>
              <w:pStyle w:val="TableParagraph"/>
              <w:spacing w:line="154" w:lineRule="exact"/>
              <w:ind w:right="61"/>
              <w:jc w:val="right"/>
              <w:rPr>
                <w:sz w:val="14"/>
              </w:rPr>
            </w:pPr>
            <w:r>
              <w:rPr>
                <w:w w:val="95"/>
                <w:sz w:val="14"/>
              </w:rPr>
              <w:t>21/09/2023</w:t>
            </w:r>
          </w:p>
        </w:tc>
        <w:tc>
          <w:tcPr>
            <w:tcW w:w="579" w:type="dxa"/>
          </w:tcPr>
          <w:p>
            <w:pPr>
              <w:pStyle w:val="TableParagraph"/>
              <w:spacing w:line="154" w:lineRule="exact"/>
              <w:ind w:right="60"/>
              <w:jc w:val="right"/>
              <w:rPr>
                <w:sz w:val="14"/>
              </w:rPr>
            </w:pPr>
            <w:r>
              <w:rPr>
                <w:w w:val="95"/>
                <w:sz w:val="14"/>
              </w:rPr>
              <w:t>10,00</w:t>
            </w:r>
          </w:p>
        </w:tc>
        <w:tc>
          <w:tcPr>
            <w:tcW w:w="862" w:type="dxa"/>
          </w:tcPr>
          <w:p>
            <w:pPr>
              <w:pStyle w:val="TableParagraph"/>
              <w:spacing w:line="154" w:lineRule="exact"/>
              <w:ind w:right="62"/>
              <w:jc w:val="right"/>
              <w:rPr>
                <w:sz w:val="14"/>
              </w:rPr>
            </w:pPr>
            <w:r>
              <w:rPr>
                <w:w w:val="95"/>
                <w:sz w:val="14"/>
              </w:rPr>
              <w:t>2.970,00</w:t>
            </w:r>
          </w:p>
        </w:tc>
        <w:tc>
          <w:tcPr>
            <w:tcW w:w="1006" w:type="dxa"/>
          </w:tcPr>
          <w:p>
            <w:pPr>
              <w:pStyle w:val="TableParagraph"/>
              <w:spacing w:line="154" w:lineRule="exact"/>
              <w:ind w:right="63"/>
              <w:jc w:val="right"/>
              <w:rPr>
                <w:sz w:val="14"/>
              </w:rPr>
            </w:pPr>
            <w:r>
              <w:rPr>
                <w:sz w:val="14"/>
              </w:rPr>
              <w:t>297,00</w:t>
            </w:r>
          </w:p>
        </w:tc>
        <w:tc>
          <w:tcPr>
            <w:tcW w:w="939" w:type="dxa"/>
          </w:tcPr>
          <w:p>
            <w:pPr>
              <w:pStyle w:val="TableParagraph"/>
              <w:spacing w:line="154" w:lineRule="exact"/>
              <w:ind w:right="63"/>
              <w:jc w:val="right"/>
              <w:rPr>
                <w:sz w:val="14"/>
              </w:rPr>
            </w:pPr>
            <w:r>
              <w:rPr>
                <w:sz w:val="14"/>
              </w:rPr>
              <w:t>371,25</w:t>
            </w:r>
          </w:p>
        </w:tc>
        <w:tc>
          <w:tcPr>
            <w:tcW w:w="881" w:type="dxa"/>
          </w:tcPr>
          <w:p>
            <w:pPr>
              <w:pStyle w:val="TableParagraph"/>
              <w:spacing w:line="154" w:lineRule="exact"/>
              <w:ind w:right="64"/>
              <w:jc w:val="right"/>
              <w:rPr>
                <w:sz w:val="14"/>
              </w:rPr>
            </w:pPr>
            <w:r>
              <w:rPr>
                <w:w w:val="95"/>
                <w:sz w:val="14"/>
              </w:rPr>
              <w:t>2.598,75</w:t>
            </w:r>
          </w:p>
        </w:tc>
      </w:tr>
    </w:tbl>
    <w:p>
      <w:pPr>
        <w:spacing w:after="0" w:line="154" w:lineRule="exact"/>
        <w:jc w:val="right"/>
        <w:rPr>
          <w:sz w:val="14"/>
        </w:rPr>
        <w:sectPr>
          <w:pgSz w:w="11900" w:h="16840"/>
          <w:pgMar w:header="739" w:footer="767" w:top="1600" w:bottom="960" w:left="1580" w:right="660"/>
        </w:sectPr>
      </w:pPr>
    </w:p>
    <w:p>
      <w:pPr>
        <w:pStyle w:val="BodyText"/>
        <w:spacing w:after="1"/>
        <w:rPr>
          <w:b/>
          <w:sz w:val="23"/>
        </w:rPr>
      </w:pPr>
    </w:p>
    <w:tbl>
      <w:tblPr>
        <w:tblW w:w="0" w:type="auto"/>
        <w:jc w:val="left"/>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2861"/>
        <w:gridCol w:w="1001"/>
        <w:gridCol w:w="579"/>
        <w:gridCol w:w="862"/>
        <w:gridCol w:w="1006"/>
        <w:gridCol w:w="939"/>
        <w:gridCol w:w="881"/>
      </w:tblGrid>
      <w:tr>
        <w:trPr>
          <w:trHeight w:val="179" w:hRule="atLeast"/>
        </w:trPr>
        <w:tc>
          <w:tcPr>
            <w:tcW w:w="919" w:type="dxa"/>
          </w:tcPr>
          <w:p>
            <w:pPr>
              <w:pStyle w:val="TableParagraph"/>
              <w:spacing w:line="151" w:lineRule="exact"/>
              <w:ind w:right="59"/>
              <w:jc w:val="right"/>
              <w:rPr>
                <w:sz w:val="14"/>
              </w:rPr>
            </w:pPr>
            <w:r>
              <w:rPr>
                <w:w w:val="95"/>
                <w:sz w:val="14"/>
              </w:rPr>
              <w:t>21900047</w:t>
            </w:r>
          </w:p>
        </w:tc>
        <w:tc>
          <w:tcPr>
            <w:tcW w:w="2861" w:type="dxa"/>
          </w:tcPr>
          <w:p>
            <w:pPr>
              <w:pStyle w:val="TableParagraph"/>
              <w:spacing w:line="151" w:lineRule="exact"/>
              <w:ind w:left="69"/>
              <w:rPr>
                <w:sz w:val="14"/>
              </w:rPr>
            </w:pPr>
            <w:r>
              <w:rPr>
                <w:sz w:val="14"/>
              </w:rPr>
              <w:t>CLARINETE SIB BUFFET E11</w:t>
            </w:r>
          </w:p>
        </w:tc>
        <w:tc>
          <w:tcPr>
            <w:tcW w:w="1001" w:type="dxa"/>
          </w:tcPr>
          <w:p>
            <w:pPr>
              <w:pStyle w:val="TableParagraph"/>
              <w:spacing w:line="151" w:lineRule="exact"/>
              <w:ind w:right="61"/>
              <w:jc w:val="right"/>
              <w:rPr>
                <w:sz w:val="14"/>
              </w:rPr>
            </w:pPr>
            <w:r>
              <w:rPr>
                <w:w w:val="95"/>
                <w:sz w:val="14"/>
              </w:rPr>
              <w:t>18/09/2024</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w w:val="95"/>
                <w:sz w:val="14"/>
              </w:rPr>
              <w:t>1.014,02</w:t>
            </w:r>
          </w:p>
        </w:tc>
        <w:tc>
          <w:tcPr>
            <w:tcW w:w="1006" w:type="dxa"/>
          </w:tcPr>
          <w:p>
            <w:pPr>
              <w:pStyle w:val="TableParagraph"/>
              <w:spacing w:line="151" w:lineRule="exact"/>
              <w:ind w:right="63"/>
              <w:jc w:val="right"/>
              <w:rPr>
                <w:sz w:val="14"/>
              </w:rPr>
            </w:pPr>
            <w:r>
              <w:rPr>
                <w:w w:val="95"/>
                <w:sz w:val="14"/>
              </w:rPr>
              <w:t>25,35</w:t>
            </w:r>
          </w:p>
        </w:tc>
        <w:tc>
          <w:tcPr>
            <w:tcW w:w="939" w:type="dxa"/>
          </w:tcPr>
          <w:p>
            <w:pPr>
              <w:pStyle w:val="TableParagraph"/>
              <w:spacing w:line="151" w:lineRule="exact"/>
              <w:ind w:right="63"/>
              <w:jc w:val="right"/>
              <w:rPr>
                <w:sz w:val="14"/>
              </w:rPr>
            </w:pPr>
            <w:r>
              <w:rPr>
                <w:w w:val="95"/>
                <w:sz w:val="14"/>
              </w:rPr>
              <w:t>25,35</w:t>
            </w:r>
          </w:p>
        </w:tc>
        <w:tc>
          <w:tcPr>
            <w:tcW w:w="881" w:type="dxa"/>
          </w:tcPr>
          <w:p>
            <w:pPr>
              <w:pStyle w:val="TableParagraph"/>
              <w:spacing w:line="151" w:lineRule="exact"/>
              <w:ind w:right="64"/>
              <w:jc w:val="right"/>
              <w:rPr>
                <w:sz w:val="14"/>
              </w:rPr>
            </w:pPr>
            <w:r>
              <w:rPr>
                <w:sz w:val="14"/>
              </w:rPr>
              <w:t>988,67</w:t>
            </w:r>
          </w:p>
        </w:tc>
      </w:tr>
      <w:tr>
        <w:trPr>
          <w:trHeight w:val="179" w:hRule="atLeast"/>
        </w:trPr>
        <w:tc>
          <w:tcPr>
            <w:tcW w:w="919" w:type="dxa"/>
          </w:tcPr>
          <w:p>
            <w:pPr>
              <w:pStyle w:val="TableParagraph"/>
              <w:spacing w:line="152" w:lineRule="exact"/>
              <w:ind w:right="59"/>
              <w:jc w:val="right"/>
              <w:rPr>
                <w:sz w:val="14"/>
              </w:rPr>
            </w:pPr>
            <w:r>
              <w:rPr>
                <w:w w:val="95"/>
                <w:sz w:val="14"/>
              </w:rPr>
              <w:t>21900048</w:t>
            </w:r>
          </w:p>
        </w:tc>
        <w:tc>
          <w:tcPr>
            <w:tcW w:w="2861" w:type="dxa"/>
          </w:tcPr>
          <w:p>
            <w:pPr>
              <w:pStyle w:val="TableParagraph"/>
              <w:spacing w:line="152" w:lineRule="exact"/>
              <w:ind w:left="69"/>
              <w:rPr>
                <w:sz w:val="14"/>
              </w:rPr>
            </w:pPr>
            <w:r>
              <w:rPr>
                <w:sz w:val="14"/>
              </w:rPr>
              <w:t>FLAUTA YAMAHA YFL-262 P.A.</w:t>
            </w:r>
          </w:p>
        </w:tc>
        <w:tc>
          <w:tcPr>
            <w:tcW w:w="1001" w:type="dxa"/>
          </w:tcPr>
          <w:p>
            <w:pPr>
              <w:pStyle w:val="TableParagraph"/>
              <w:spacing w:line="152" w:lineRule="exact"/>
              <w:ind w:right="61"/>
              <w:jc w:val="right"/>
              <w:rPr>
                <w:sz w:val="14"/>
              </w:rPr>
            </w:pPr>
            <w:r>
              <w:rPr>
                <w:w w:val="95"/>
                <w:sz w:val="14"/>
              </w:rPr>
              <w:t>18/09/2024</w:t>
            </w:r>
          </w:p>
        </w:tc>
        <w:tc>
          <w:tcPr>
            <w:tcW w:w="579" w:type="dxa"/>
          </w:tcPr>
          <w:p>
            <w:pPr>
              <w:pStyle w:val="TableParagraph"/>
              <w:spacing w:line="152" w:lineRule="exact"/>
              <w:ind w:right="60"/>
              <w:jc w:val="right"/>
              <w:rPr>
                <w:sz w:val="14"/>
              </w:rPr>
            </w:pPr>
            <w:r>
              <w:rPr>
                <w:w w:val="95"/>
                <w:sz w:val="14"/>
              </w:rPr>
              <w:t>10,00</w:t>
            </w:r>
          </w:p>
        </w:tc>
        <w:tc>
          <w:tcPr>
            <w:tcW w:w="862" w:type="dxa"/>
          </w:tcPr>
          <w:p>
            <w:pPr>
              <w:pStyle w:val="TableParagraph"/>
              <w:spacing w:line="152" w:lineRule="exact"/>
              <w:ind w:right="62"/>
              <w:jc w:val="right"/>
              <w:rPr>
                <w:sz w:val="14"/>
              </w:rPr>
            </w:pPr>
            <w:r>
              <w:rPr>
                <w:sz w:val="14"/>
              </w:rPr>
              <w:t>607,47</w:t>
            </w:r>
          </w:p>
        </w:tc>
        <w:tc>
          <w:tcPr>
            <w:tcW w:w="1006" w:type="dxa"/>
          </w:tcPr>
          <w:p>
            <w:pPr>
              <w:pStyle w:val="TableParagraph"/>
              <w:spacing w:line="152" w:lineRule="exact"/>
              <w:ind w:right="63"/>
              <w:jc w:val="right"/>
              <w:rPr>
                <w:sz w:val="14"/>
              </w:rPr>
            </w:pPr>
            <w:r>
              <w:rPr>
                <w:w w:val="95"/>
                <w:sz w:val="14"/>
              </w:rPr>
              <w:t>15,19</w:t>
            </w:r>
          </w:p>
        </w:tc>
        <w:tc>
          <w:tcPr>
            <w:tcW w:w="939" w:type="dxa"/>
          </w:tcPr>
          <w:p>
            <w:pPr>
              <w:pStyle w:val="TableParagraph"/>
              <w:spacing w:line="152" w:lineRule="exact"/>
              <w:ind w:right="63"/>
              <w:jc w:val="right"/>
              <w:rPr>
                <w:sz w:val="14"/>
              </w:rPr>
            </w:pPr>
            <w:r>
              <w:rPr>
                <w:w w:val="95"/>
                <w:sz w:val="14"/>
              </w:rPr>
              <w:t>15,19</w:t>
            </w:r>
          </w:p>
        </w:tc>
        <w:tc>
          <w:tcPr>
            <w:tcW w:w="881" w:type="dxa"/>
          </w:tcPr>
          <w:p>
            <w:pPr>
              <w:pStyle w:val="TableParagraph"/>
              <w:spacing w:line="152" w:lineRule="exact"/>
              <w:ind w:right="64"/>
              <w:jc w:val="right"/>
              <w:rPr>
                <w:sz w:val="14"/>
              </w:rPr>
            </w:pPr>
            <w:r>
              <w:rPr>
                <w:sz w:val="14"/>
              </w:rPr>
              <w:t>592,28</w:t>
            </w:r>
          </w:p>
        </w:tc>
      </w:tr>
      <w:tr>
        <w:trPr>
          <w:trHeight w:val="179" w:hRule="atLeast"/>
        </w:trPr>
        <w:tc>
          <w:tcPr>
            <w:tcW w:w="919" w:type="dxa"/>
          </w:tcPr>
          <w:p>
            <w:pPr>
              <w:pStyle w:val="TableParagraph"/>
              <w:spacing w:line="151" w:lineRule="exact"/>
              <w:ind w:right="59"/>
              <w:jc w:val="right"/>
              <w:rPr>
                <w:sz w:val="14"/>
              </w:rPr>
            </w:pPr>
            <w:r>
              <w:rPr>
                <w:w w:val="95"/>
                <w:sz w:val="14"/>
              </w:rPr>
              <w:t>21900049</w:t>
            </w:r>
          </w:p>
        </w:tc>
        <w:tc>
          <w:tcPr>
            <w:tcW w:w="2861" w:type="dxa"/>
          </w:tcPr>
          <w:p>
            <w:pPr>
              <w:pStyle w:val="TableParagraph"/>
              <w:spacing w:line="151" w:lineRule="exact"/>
              <w:ind w:left="69"/>
              <w:rPr>
                <w:sz w:val="14"/>
              </w:rPr>
            </w:pPr>
            <w:r>
              <w:rPr>
                <w:sz w:val="14"/>
              </w:rPr>
              <w:t>FLAUTA YAMAHA YFL-262 P.A.</w:t>
            </w:r>
          </w:p>
        </w:tc>
        <w:tc>
          <w:tcPr>
            <w:tcW w:w="1001" w:type="dxa"/>
          </w:tcPr>
          <w:p>
            <w:pPr>
              <w:pStyle w:val="TableParagraph"/>
              <w:spacing w:line="151" w:lineRule="exact"/>
              <w:ind w:right="61"/>
              <w:jc w:val="right"/>
              <w:rPr>
                <w:sz w:val="14"/>
              </w:rPr>
            </w:pPr>
            <w:r>
              <w:rPr>
                <w:w w:val="95"/>
                <w:sz w:val="14"/>
              </w:rPr>
              <w:t>18/09/2024</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607,47</w:t>
            </w:r>
          </w:p>
        </w:tc>
        <w:tc>
          <w:tcPr>
            <w:tcW w:w="1006" w:type="dxa"/>
          </w:tcPr>
          <w:p>
            <w:pPr>
              <w:pStyle w:val="TableParagraph"/>
              <w:spacing w:line="151" w:lineRule="exact"/>
              <w:ind w:right="63"/>
              <w:jc w:val="right"/>
              <w:rPr>
                <w:sz w:val="14"/>
              </w:rPr>
            </w:pPr>
            <w:r>
              <w:rPr>
                <w:w w:val="95"/>
                <w:sz w:val="14"/>
              </w:rPr>
              <w:t>15,19</w:t>
            </w:r>
          </w:p>
        </w:tc>
        <w:tc>
          <w:tcPr>
            <w:tcW w:w="939" w:type="dxa"/>
          </w:tcPr>
          <w:p>
            <w:pPr>
              <w:pStyle w:val="TableParagraph"/>
              <w:spacing w:line="151" w:lineRule="exact"/>
              <w:ind w:right="63"/>
              <w:jc w:val="right"/>
              <w:rPr>
                <w:sz w:val="14"/>
              </w:rPr>
            </w:pPr>
            <w:r>
              <w:rPr>
                <w:w w:val="95"/>
                <w:sz w:val="14"/>
              </w:rPr>
              <w:t>15,19</w:t>
            </w:r>
          </w:p>
        </w:tc>
        <w:tc>
          <w:tcPr>
            <w:tcW w:w="881" w:type="dxa"/>
          </w:tcPr>
          <w:p>
            <w:pPr>
              <w:pStyle w:val="TableParagraph"/>
              <w:spacing w:line="151" w:lineRule="exact"/>
              <w:ind w:right="64"/>
              <w:jc w:val="right"/>
              <w:rPr>
                <w:sz w:val="14"/>
              </w:rPr>
            </w:pPr>
            <w:r>
              <w:rPr>
                <w:sz w:val="14"/>
              </w:rPr>
              <w:t>592,28</w:t>
            </w:r>
          </w:p>
        </w:tc>
      </w:tr>
      <w:tr>
        <w:trPr>
          <w:trHeight w:val="179" w:hRule="atLeast"/>
        </w:trPr>
        <w:tc>
          <w:tcPr>
            <w:tcW w:w="919" w:type="dxa"/>
          </w:tcPr>
          <w:p>
            <w:pPr>
              <w:pStyle w:val="TableParagraph"/>
              <w:spacing w:line="151" w:lineRule="exact"/>
              <w:ind w:right="59"/>
              <w:jc w:val="right"/>
              <w:rPr>
                <w:sz w:val="14"/>
              </w:rPr>
            </w:pPr>
            <w:r>
              <w:rPr>
                <w:w w:val="95"/>
                <w:sz w:val="14"/>
              </w:rPr>
              <w:t>21900050</w:t>
            </w:r>
          </w:p>
        </w:tc>
        <w:tc>
          <w:tcPr>
            <w:tcW w:w="2861" w:type="dxa"/>
          </w:tcPr>
          <w:p>
            <w:pPr>
              <w:pStyle w:val="TableParagraph"/>
              <w:spacing w:line="151" w:lineRule="exact"/>
              <w:ind w:left="69"/>
              <w:rPr>
                <w:sz w:val="14"/>
              </w:rPr>
            </w:pPr>
            <w:r>
              <w:rPr>
                <w:sz w:val="14"/>
              </w:rPr>
              <w:t>ACCESORIOS INSTRUMENTOS VARIOS</w:t>
            </w:r>
          </w:p>
        </w:tc>
        <w:tc>
          <w:tcPr>
            <w:tcW w:w="1001" w:type="dxa"/>
          </w:tcPr>
          <w:p>
            <w:pPr>
              <w:pStyle w:val="TableParagraph"/>
              <w:spacing w:line="151" w:lineRule="exact"/>
              <w:ind w:right="61"/>
              <w:jc w:val="right"/>
              <w:rPr>
                <w:sz w:val="14"/>
              </w:rPr>
            </w:pPr>
            <w:r>
              <w:rPr>
                <w:w w:val="95"/>
                <w:sz w:val="14"/>
              </w:rPr>
              <w:t>18/09/2024</w:t>
            </w:r>
          </w:p>
        </w:tc>
        <w:tc>
          <w:tcPr>
            <w:tcW w:w="579" w:type="dxa"/>
          </w:tcPr>
          <w:p>
            <w:pPr>
              <w:pStyle w:val="TableParagraph"/>
              <w:spacing w:line="151" w:lineRule="exact"/>
              <w:ind w:right="60"/>
              <w:jc w:val="right"/>
              <w:rPr>
                <w:sz w:val="14"/>
              </w:rPr>
            </w:pPr>
            <w:r>
              <w:rPr>
                <w:w w:val="95"/>
                <w:sz w:val="14"/>
              </w:rPr>
              <w:t>10,00</w:t>
            </w:r>
          </w:p>
        </w:tc>
        <w:tc>
          <w:tcPr>
            <w:tcW w:w="862" w:type="dxa"/>
          </w:tcPr>
          <w:p>
            <w:pPr>
              <w:pStyle w:val="TableParagraph"/>
              <w:spacing w:line="151" w:lineRule="exact"/>
              <w:ind w:right="62"/>
              <w:jc w:val="right"/>
              <w:rPr>
                <w:sz w:val="14"/>
              </w:rPr>
            </w:pPr>
            <w:r>
              <w:rPr>
                <w:sz w:val="14"/>
              </w:rPr>
              <w:t>563,17</w:t>
            </w:r>
          </w:p>
        </w:tc>
        <w:tc>
          <w:tcPr>
            <w:tcW w:w="1006" w:type="dxa"/>
          </w:tcPr>
          <w:p>
            <w:pPr>
              <w:pStyle w:val="TableParagraph"/>
              <w:spacing w:line="151" w:lineRule="exact"/>
              <w:ind w:right="63"/>
              <w:jc w:val="right"/>
              <w:rPr>
                <w:sz w:val="14"/>
              </w:rPr>
            </w:pPr>
            <w:r>
              <w:rPr>
                <w:w w:val="95"/>
                <w:sz w:val="14"/>
              </w:rPr>
              <w:t>14,08</w:t>
            </w:r>
          </w:p>
        </w:tc>
        <w:tc>
          <w:tcPr>
            <w:tcW w:w="939" w:type="dxa"/>
          </w:tcPr>
          <w:p>
            <w:pPr>
              <w:pStyle w:val="TableParagraph"/>
              <w:spacing w:line="151" w:lineRule="exact"/>
              <w:ind w:right="63"/>
              <w:jc w:val="right"/>
              <w:rPr>
                <w:sz w:val="14"/>
              </w:rPr>
            </w:pPr>
            <w:r>
              <w:rPr>
                <w:w w:val="95"/>
                <w:sz w:val="14"/>
              </w:rPr>
              <w:t>14,08</w:t>
            </w:r>
          </w:p>
        </w:tc>
        <w:tc>
          <w:tcPr>
            <w:tcW w:w="881" w:type="dxa"/>
          </w:tcPr>
          <w:p>
            <w:pPr>
              <w:pStyle w:val="TableParagraph"/>
              <w:spacing w:line="151" w:lineRule="exact"/>
              <w:ind w:right="64"/>
              <w:jc w:val="right"/>
              <w:rPr>
                <w:sz w:val="14"/>
              </w:rPr>
            </w:pPr>
            <w:r>
              <w:rPr>
                <w:sz w:val="14"/>
              </w:rPr>
              <w:t>549,09</w:t>
            </w:r>
          </w:p>
        </w:tc>
      </w:tr>
      <w:tr>
        <w:trPr>
          <w:trHeight w:val="182" w:hRule="atLeast"/>
        </w:trPr>
        <w:tc>
          <w:tcPr>
            <w:tcW w:w="5360" w:type="dxa"/>
            <w:gridSpan w:val="4"/>
          </w:tcPr>
          <w:p>
            <w:pPr>
              <w:pStyle w:val="TableParagraph"/>
              <w:spacing w:line="154" w:lineRule="exact"/>
              <w:ind w:left="1521"/>
              <w:rPr>
                <w:b/>
                <w:sz w:val="14"/>
              </w:rPr>
            </w:pPr>
            <w:r>
              <w:rPr>
                <w:b/>
                <w:sz w:val="14"/>
              </w:rPr>
              <w:t>TOTAL OTRO INMOVILIZADO MATERIAL</w:t>
            </w:r>
          </w:p>
        </w:tc>
        <w:tc>
          <w:tcPr>
            <w:tcW w:w="862" w:type="dxa"/>
          </w:tcPr>
          <w:p>
            <w:pPr>
              <w:pStyle w:val="TableParagraph"/>
              <w:spacing w:line="154" w:lineRule="exact"/>
              <w:ind w:right="62"/>
              <w:jc w:val="right"/>
              <w:rPr>
                <w:b/>
                <w:sz w:val="14"/>
              </w:rPr>
            </w:pPr>
            <w:r>
              <w:rPr>
                <w:b/>
                <w:w w:val="95"/>
                <w:sz w:val="14"/>
              </w:rPr>
              <w:t>95.830,75</w:t>
            </w:r>
          </w:p>
        </w:tc>
        <w:tc>
          <w:tcPr>
            <w:tcW w:w="1006" w:type="dxa"/>
          </w:tcPr>
          <w:p>
            <w:pPr>
              <w:pStyle w:val="TableParagraph"/>
              <w:spacing w:line="154" w:lineRule="exact"/>
              <w:ind w:right="63"/>
              <w:jc w:val="right"/>
              <w:rPr>
                <w:b/>
                <w:sz w:val="14"/>
              </w:rPr>
            </w:pPr>
            <w:r>
              <w:rPr>
                <w:b/>
                <w:w w:val="95"/>
                <w:sz w:val="14"/>
              </w:rPr>
              <w:t>2.183,35</w:t>
            </w:r>
          </w:p>
        </w:tc>
        <w:tc>
          <w:tcPr>
            <w:tcW w:w="939" w:type="dxa"/>
          </w:tcPr>
          <w:p>
            <w:pPr>
              <w:pStyle w:val="TableParagraph"/>
              <w:spacing w:line="154" w:lineRule="exact"/>
              <w:ind w:right="63"/>
              <w:jc w:val="right"/>
              <w:rPr>
                <w:b/>
                <w:sz w:val="14"/>
              </w:rPr>
            </w:pPr>
            <w:r>
              <w:rPr>
                <w:b/>
                <w:w w:val="95"/>
                <w:sz w:val="14"/>
              </w:rPr>
              <w:t>81.431,17</w:t>
            </w:r>
          </w:p>
        </w:tc>
        <w:tc>
          <w:tcPr>
            <w:tcW w:w="881" w:type="dxa"/>
          </w:tcPr>
          <w:p>
            <w:pPr>
              <w:pStyle w:val="TableParagraph"/>
              <w:spacing w:line="154" w:lineRule="exact"/>
              <w:ind w:right="64"/>
              <w:jc w:val="right"/>
              <w:rPr>
                <w:b/>
                <w:sz w:val="14"/>
              </w:rPr>
            </w:pPr>
            <w:r>
              <w:rPr>
                <w:b/>
                <w:w w:val="95"/>
                <w:sz w:val="14"/>
              </w:rPr>
              <w:t>14.399,58</w:t>
            </w:r>
          </w:p>
        </w:tc>
      </w:tr>
      <w:tr>
        <w:trPr>
          <w:trHeight w:val="345" w:hRule="atLeast"/>
        </w:trPr>
        <w:tc>
          <w:tcPr>
            <w:tcW w:w="5360" w:type="dxa"/>
            <w:gridSpan w:val="4"/>
          </w:tcPr>
          <w:p>
            <w:pPr>
              <w:pStyle w:val="TableParagraph"/>
              <w:spacing w:before="0"/>
              <w:rPr>
                <w:b/>
                <w:sz w:val="14"/>
              </w:rPr>
            </w:pPr>
          </w:p>
          <w:p>
            <w:pPr>
              <w:pStyle w:val="TableParagraph"/>
              <w:spacing w:line="154" w:lineRule="exact" w:before="0"/>
              <w:ind w:left="2004" w:right="1998"/>
              <w:jc w:val="center"/>
              <w:rPr>
                <w:b/>
                <w:sz w:val="14"/>
              </w:rPr>
            </w:pPr>
            <w:r>
              <w:rPr>
                <w:b/>
                <w:sz w:val="14"/>
              </w:rPr>
              <w:t>TOTAL INMOVILIZADO</w:t>
            </w:r>
          </w:p>
        </w:tc>
        <w:tc>
          <w:tcPr>
            <w:tcW w:w="862" w:type="dxa"/>
          </w:tcPr>
          <w:p>
            <w:pPr>
              <w:pStyle w:val="TableParagraph"/>
              <w:spacing w:before="0"/>
              <w:rPr>
                <w:b/>
                <w:sz w:val="14"/>
              </w:rPr>
            </w:pPr>
          </w:p>
          <w:p>
            <w:pPr>
              <w:pStyle w:val="TableParagraph"/>
              <w:spacing w:line="154" w:lineRule="exact" w:before="0"/>
              <w:ind w:right="62"/>
              <w:jc w:val="right"/>
              <w:rPr>
                <w:b/>
                <w:sz w:val="14"/>
              </w:rPr>
            </w:pPr>
            <w:r>
              <w:rPr>
                <w:b/>
                <w:w w:val="95"/>
                <w:sz w:val="14"/>
              </w:rPr>
              <w:t>139.549,91</w:t>
            </w:r>
          </w:p>
        </w:tc>
        <w:tc>
          <w:tcPr>
            <w:tcW w:w="1006" w:type="dxa"/>
          </w:tcPr>
          <w:p>
            <w:pPr>
              <w:pStyle w:val="TableParagraph"/>
              <w:spacing w:before="0"/>
              <w:rPr>
                <w:b/>
                <w:sz w:val="14"/>
              </w:rPr>
            </w:pPr>
          </w:p>
          <w:p>
            <w:pPr>
              <w:pStyle w:val="TableParagraph"/>
              <w:spacing w:line="154" w:lineRule="exact" w:before="0"/>
              <w:ind w:right="63"/>
              <w:jc w:val="right"/>
              <w:rPr>
                <w:b/>
                <w:sz w:val="14"/>
              </w:rPr>
            </w:pPr>
            <w:r>
              <w:rPr>
                <w:b/>
                <w:w w:val="95"/>
                <w:sz w:val="14"/>
              </w:rPr>
              <w:t>6.116,97</w:t>
            </w:r>
          </w:p>
        </w:tc>
        <w:tc>
          <w:tcPr>
            <w:tcW w:w="939" w:type="dxa"/>
          </w:tcPr>
          <w:p>
            <w:pPr>
              <w:pStyle w:val="TableParagraph"/>
              <w:spacing w:before="0"/>
              <w:rPr>
                <w:b/>
                <w:sz w:val="14"/>
              </w:rPr>
            </w:pPr>
          </w:p>
          <w:p>
            <w:pPr>
              <w:pStyle w:val="TableParagraph"/>
              <w:spacing w:line="154" w:lineRule="exact" w:before="0"/>
              <w:ind w:right="63"/>
              <w:jc w:val="right"/>
              <w:rPr>
                <w:b/>
                <w:sz w:val="14"/>
              </w:rPr>
            </w:pPr>
            <w:r>
              <w:rPr>
                <w:b/>
                <w:w w:val="95"/>
                <w:sz w:val="14"/>
              </w:rPr>
              <w:t>107.555,31</w:t>
            </w:r>
          </w:p>
        </w:tc>
        <w:tc>
          <w:tcPr>
            <w:tcW w:w="881" w:type="dxa"/>
          </w:tcPr>
          <w:p>
            <w:pPr>
              <w:pStyle w:val="TableParagraph"/>
              <w:spacing w:before="0"/>
              <w:rPr>
                <w:b/>
                <w:sz w:val="14"/>
              </w:rPr>
            </w:pPr>
          </w:p>
          <w:p>
            <w:pPr>
              <w:pStyle w:val="TableParagraph"/>
              <w:spacing w:line="154" w:lineRule="exact" w:before="0"/>
              <w:ind w:right="64"/>
              <w:jc w:val="right"/>
              <w:rPr>
                <w:b/>
                <w:sz w:val="14"/>
              </w:rPr>
            </w:pPr>
            <w:r>
              <w:rPr>
                <w:b/>
                <w:w w:val="95"/>
                <w:sz w:val="14"/>
              </w:rPr>
              <w:t>30.449,10</w:t>
            </w:r>
          </w:p>
        </w:tc>
      </w:tr>
    </w:tbl>
    <w:sectPr>
      <w:pgSz w:w="11900" w:h="16840"/>
      <w:pgMar w:header="739" w:footer="767" w:top="1600" w:bottom="960" w:left="158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03.960403pt;margin-top:792.648987pt;width:187.4pt;height:19.8pt;mso-position-horizontal-relative:page;mso-position-vertical-relative:page;z-index:-259604480" type="#_x0000_t202" filled="false" stroked="false">
          <v:textbox inset="0,0,0,0">
            <w:txbxContent>
              <w:p>
                <w:pPr>
                  <w:spacing w:line="183" w:lineRule="exact" w:before="0"/>
                  <w:ind w:left="0" w:right="1" w:firstLine="0"/>
                  <w:jc w:val="center"/>
                  <w:rPr>
                    <w:sz w:val="16"/>
                  </w:rPr>
                </w:pPr>
                <w:r>
                  <w:rPr>
                    <w:sz w:val="16"/>
                  </w:rPr>
                  <w:t>Presidente de la Fundación</w:t>
                </w:r>
              </w:p>
              <w:p>
                <w:pPr>
                  <w:spacing w:line="195" w:lineRule="exact" w:before="0"/>
                  <w:ind w:left="1" w:right="1" w:firstLine="0"/>
                  <w:jc w:val="center"/>
                  <w:rPr>
                    <w:sz w:val="16"/>
                  </w:rPr>
                </w:pPr>
                <w:r>
                  <w:rPr>
                    <w:sz w:val="16"/>
                  </w:rPr>
                  <w:t>Fecha de formulación de las cuentas anuales: 28.02.2025</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16.960091pt;margin-top:35.928356pt;width:361.5pt;height:19.9pt;mso-position-horizontal-relative:page;mso-position-vertical-relative:page;z-index:-259605504" type="#_x0000_t202" filled="false" stroked="false">
          <v:textbox inset="0,0,0,0">
            <w:txbxContent>
              <w:p>
                <w:pPr>
                  <w:spacing w:line="184" w:lineRule="exact" w:before="0"/>
                  <w:ind w:left="1" w:right="1" w:firstLine="0"/>
                  <w:jc w:val="center"/>
                  <w:rPr>
                    <w:sz w:val="16"/>
                  </w:rPr>
                </w:pPr>
                <w:r>
                  <w:rPr>
                    <w:sz w:val="16"/>
                  </w:rPr>
                  <w:t>FUNDACION CANARIA PARA LA PROMOCION DE LA CULTURA MUSICAL Y LAS ARTES EN EL NORTE DE TENERIFE</w:t>
                </w:r>
              </w:p>
              <w:p>
                <w:pPr>
                  <w:spacing w:before="1"/>
                  <w:ind w:left="1" w:right="3" w:firstLine="0"/>
                  <w:jc w:val="center"/>
                  <w:rPr>
                    <w:sz w:val="16"/>
                  </w:rPr>
                </w:pPr>
                <w:r>
                  <w:rPr>
                    <w:sz w:val="16"/>
                  </w:rPr>
                  <w:t>Memoria simplificada ejercicio 2024</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15"/>
      <w:numFmt w:val="decimal"/>
      <w:lvlText w:val="%1."/>
      <w:lvlJc w:val="left"/>
      <w:pPr>
        <w:ind w:left="541" w:hanging="421"/>
        <w:jc w:val="left"/>
      </w:pPr>
      <w:rPr>
        <w:rFonts w:hint="default" w:ascii="Calibri" w:hAnsi="Calibri" w:eastAsia="Calibri" w:cs="Calibri"/>
        <w:b/>
        <w:bCs/>
        <w:spacing w:val="-1"/>
        <w:w w:val="100"/>
        <w:sz w:val="28"/>
        <w:szCs w:val="28"/>
      </w:rPr>
    </w:lvl>
    <w:lvl w:ilvl="1">
      <w:start w:val="0"/>
      <w:numFmt w:val="bullet"/>
      <w:lvlText w:val="•"/>
      <w:lvlJc w:val="left"/>
      <w:pPr>
        <w:ind w:left="1452" w:hanging="421"/>
      </w:pPr>
      <w:rPr>
        <w:rFonts w:hint="default"/>
      </w:rPr>
    </w:lvl>
    <w:lvl w:ilvl="2">
      <w:start w:val="0"/>
      <w:numFmt w:val="bullet"/>
      <w:lvlText w:val="•"/>
      <w:lvlJc w:val="left"/>
      <w:pPr>
        <w:ind w:left="2364" w:hanging="421"/>
      </w:pPr>
      <w:rPr>
        <w:rFonts w:hint="default"/>
      </w:rPr>
    </w:lvl>
    <w:lvl w:ilvl="3">
      <w:start w:val="0"/>
      <w:numFmt w:val="bullet"/>
      <w:lvlText w:val="•"/>
      <w:lvlJc w:val="left"/>
      <w:pPr>
        <w:ind w:left="3276" w:hanging="421"/>
      </w:pPr>
      <w:rPr>
        <w:rFonts w:hint="default"/>
      </w:rPr>
    </w:lvl>
    <w:lvl w:ilvl="4">
      <w:start w:val="0"/>
      <w:numFmt w:val="bullet"/>
      <w:lvlText w:val="•"/>
      <w:lvlJc w:val="left"/>
      <w:pPr>
        <w:ind w:left="4188" w:hanging="421"/>
      </w:pPr>
      <w:rPr>
        <w:rFonts w:hint="default"/>
      </w:rPr>
    </w:lvl>
    <w:lvl w:ilvl="5">
      <w:start w:val="0"/>
      <w:numFmt w:val="bullet"/>
      <w:lvlText w:val="•"/>
      <w:lvlJc w:val="left"/>
      <w:pPr>
        <w:ind w:left="5100" w:hanging="421"/>
      </w:pPr>
      <w:rPr>
        <w:rFonts w:hint="default"/>
      </w:rPr>
    </w:lvl>
    <w:lvl w:ilvl="6">
      <w:start w:val="0"/>
      <w:numFmt w:val="bullet"/>
      <w:lvlText w:val="•"/>
      <w:lvlJc w:val="left"/>
      <w:pPr>
        <w:ind w:left="6012" w:hanging="421"/>
      </w:pPr>
      <w:rPr>
        <w:rFonts w:hint="default"/>
      </w:rPr>
    </w:lvl>
    <w:lvl w:ilvl="7">
      <w:start w:val="0"/>
      <w:numFmt w:val="bullet"/>
      <w:lvlText w:val="•"/>
      <w:lvlJc w:val="left"/>
      <w:pPr>
        <w:ind w:left="6924" w:hanging="421"/>
      </w:pPr>
      <w:rPr>
        <w:rFonts w:hint="default"/>
      </w:rPr>
    </w:lvl>
    <w:lvl w:ilvl="8">
      <w:start w:val="0"/>
      <w:numFmt w:val="bullet"/>
      <w:lvlText w:val="•"/>
      <w:lvlJc w:val="left"/>
      <w:pPr>
        <w:ind w:left="7836" w:hanging="421"/>
      </w:pPr>
      <w:rPr>
        <w:rFonts w:hint="default"/>
      </w:rPr>
    </w:lvl>
  </w:abstractNum>
  <w:abstractNum w:abstractNumId="18">
    <w:multiLevelType w:val="hybridMultilevel"/>
    <w:lvl w:ilvl="0">
      <w:start w:val="3"/>
      <w:numFmt w:val="upperLetter"/>
      <w:lvlText w:val="%1)"/>
      <w:lvlJc w:val="left"/>
      <w:pPr>
        <w:ind w:left="378" w:hanging="257"/>
        <w:jc w:val="left"/>
      </w:pPr>
      <w:rPr>
        <w:rFonts w:hint="default" w:ascii="Calibri" w:hAnsi="Calibri" w:eastAsia="Calibri" w:cs="Calibri"/>
        <w:b/>
        <w:bCs/>
        <w:w w:val="99"/>
        <w:sz w:val="24"/>
        <w:szCs w:val="24"/>
      </w:rPr>
    </w:lvl>
    <w:lvl w:ilvl="1">
      <w:start w:val="1"/>
      <w:numFmt w:val="decimal"/>
      <w:lvlText w:val="%2."/>
      <w:lvlJc w:val="left"/>
      <w:pPr>
        <w:ind w:left="841" w:hanging="360"/>
        <w:jc w:val="left"/>
      </w:pPr>
      <w:rPr>
        <w:rFonts w:hint="default" w:ascii="Calibri" w:hAnsi="Calibri" w:eastAsia="Calibri" w:cs="Calibri"/>
        <w:b/>
        <w:bCs/>
        <w:spacing w:val="-1"/>
        <w:w w:val="100"/>
        <w:sz w:val="28"/>
        <w:szCs w:val="28"/>
      </w:rPr>
    </w:lvl>
    <w:lvl w:ilvl="2">
      <w:start w:val="0"/>
      <w:numFmt w:val="bullet"/>
      <w:lvlText w:val="•"/>
      <w:lvlJc w:val="left"/>
      <w:pPr>
        <w:ind w:left="1820" w:hanging="360"/>
      </w:pPr>
      <w:rPr>
        <w:rFonts w:hint="default"/>
      </w:rPr>
    </w:lvl>
    <w:lvl w:ilvl="3">
      <w:start w:val="0"/>
      <w:numFmt w:val="bullet"/>
      <w:lvlText w:val="•"/>
      <w:lvlJc w:val="left"/>
      <w:pPr>
        <w:ind w:left="2800" w:hanging="360"/>
      </w:pPr>
      <w:rPr>
        <w:rFonts w:hint="default"/>
      </w:rPr>
    </w:lvl>
    <w:lvl w:ilvl="4">
      <w:start w:val="0"/>
      <w:numFmt w:val="bullet"/>
      <w:lvlText w:val="•"/>
      <w:lvlJc w:val="left"/>
      <w:pPr>
        <w:ind w:left="3780" w:hanging="360"/>
      </w:pPr>
      <w:rPr>
        <w:rFonts w:hint="default"/>
      </w:rPr>
    </w:lvl>
    <w:lvl w:ilvl="5">
      <w:start w:val="0"/>
      <w:numFmt w:val="bullet"/>
      <w:lvlText w:val="•"/>
      <w:lvlJc w:val="left"/>
      <w:pPr>
        <w:ind w:left="4760" w:hanging="360"/>
      </w:pPr>
      <w:rPr>
        <w:rFonts w:hint="default"/>
      </w:rPr>
    </w:lvl>
    <w:lvl w:ilvl="6">
      <w:start w:val="0"/>
      <w:numFmt w:val="bullet"/>
      <w:lvlText w:val="•"/>
      <w:lvlJc w:val="left"/>
      <w:pPr>
        <w:ind w:left="5740" w:hanging="360"/>
      </w:pPr>
      <w:rPr>
        <w:rFonts w:hint="default"/>
      </w:rPr>
    </w:lvl>
    <w:lvl w:ilvl="7">
      <w:start w:val="0"/>
      <w:numFmt w:val="bullet"/>
      <w:lvlText w:val="•"/>
      <w:lvlJc w:val="left"/>
      <w:pPr>
        <w:ind w:left="6720" w:hanging="360"/>
      </w:pPr>
      <w:rPr>
        <w:rFonts w:hint="default"/>
      </w:rPr>
    </w:lvl>
    <w:lvl w:ilvl="8">
      <w:start w:val="0"/>
      <w:numFmt w:val="bullet"/>
      <w:lvlText w:val="•"/>
      <w:lvlJc w:val="left"/>
      <w:pPr>
        <w:ind w:left="7700" w:hanging="360"/>
      </w:pPr>
      <w:rPr>
        <w:rFonts w:hint="default"/>
      </w:rPr>
    </w:lvl>
  </w:abstractNum>
  <w:abstractNum w:abstractNumId="17">
    <w:multiLevelType w:val="hybridMultilevel"/>
    <w:lvl w:ilvl="0">
      <w:start w:val="1"/>
      <w:numFmt w:val="decimal"/>
      <w:lvlText w:val="%1."/>
      <w:lvlJc w:val="left"/>
      <w:pPr>
        <w:ind w:left="462" w:hanging="341"/>
        <w:jc w:val="left"/>
      </w:pPr>
      <w:rPr>
        <w:rFonts w:hint="default" w:ascii="Calibri" w:hAnsi="Calibri" w:eastAsia="Calibri" w:cs="Calibri"/>
        <w:b/>
        <w:bCs/>
        <w:spacing w:val="-1"/>
        <w:w w:val="100"/>
        <w:sz w:val="28"/>
        <w:szCs w:val="28"/>
      </w:rPr>
    </w:lvl>
    <w:lvl w:ilvl="1">
      <w:start w:val="1"/>
      <w:numFmt w:val="upperLetter"/>
      <w:lvlText w:val="%2."/>
      <w:lvlJc w:val="left"/>
      <w:pPr>
        <w:ind w:left="388" w:hanging="267"/>
        <w:jc w:val="left"/>
      </w:pPr>
      <w:rPr>
        <w:rFonts w:hint="default" w:ascii="Calibri" w:hAnsi="Calibri" w:eastAsia="Calibri" w:cs="Calibri"/>
        <w:b/>
        <w:bCs/>
        <w:spacing w:val="0"/>
        <w:w w:val="99"/>
        <w:sz w:val="24"/>
        <w:szCs w:val="24"/>
      </w:rPr>
    </w:lvl>
    <w:lvl w:ilvl="2">
      <w:start w:val="1"/>
      <w:numFmt w:val="decimal"/>
      <w:lvlText w:val="%2.%3"/>
      <w:lvlJc w:val="left"/>
      <w:pPr>
        <w:ind w:left="851" w:hanging="370"/>
        <w:jc w:val="right"/>
      </w:pPr>
      <w:rPr>
        <w:rFonts w:hint="default" w:ascii="Calibri" w:hAnsi="Calibri" w:eastAsia="Calibri" w:cs="Calibri"/>
        <w:b/>
        <w:bCs/>
        <w:w w:val="99"/>
        <w:sz w:val="24"/>
        <w:szCs w:val="24"/>
      </w:rPr>
    </w:lvl>
    <w:lvl w:ilvl="3">
      <w:start w:val="0"/>
      <w:numFmt w:val="bullet"/>
      <w:lvlText w:val="•"/>
      <w:lvlJc w:val="left"/>
      <w:pPr>
        <w:ind w:left="1960" w:hanging="370"/>
      </w:pPr>
      <w:rPr>
        <w:rFonts w:hint="default"/>
      </w:rPr>
    </w:lvl>
    <w:lvl w:ilvl="4">
      <w:start w:val="0"/>
      <w:numFmt w:val="bullet"/>
      <w:lvlText w:val="•"/>
      <w:lvlJc w:val="left"/>
      <w:pPr>
        <w:ind w:left="3060" w:hanging="370"/>
      </w:pPr>
      <w:rPr>
        <w:rFonts w:hint="default"/>
      </w:rPr>
    </w:lvl>
    <w:lvl w:ilvl="5">
      <w:start w:val="0"/>
      <w:numFmt w:val="bullet"/>
      <w:lvlText w:val="•"/>
      <w:lvlJc w:val="left"/>
      <w:pPr>
        <w:ind w:left="4160" w:hanging="370"/>
      </w:pPr>
      <w:rPr>
        <w:rFonts w:hint="default"/>
      </w:rPr>
    </w:lvl>
    <w:lvl w:ilvl="6">
      <w:start w:val="0"/>
      <w:numFmt w:val="bullet"/>
      <w:lvlText w:val="•"/>
      <w:lvlJc w:val="left"/>
      <w:pPr>
        <w:ind w:left="5260" w:hanging="370"/>
      </w:pPr>
      <w:rPr>
        <w:rFonts w:hint="default"/>
      </w:rPr>
    </w:lvl>
    <w:lvl w:ilvl="7">
      <w:start w:val="0"/>
      <w:numFmt w:val="bullet"/>
      <w:lvlText w:val="•"/>
      <w:lvlJc w:val="left"/>
      <w:pPr>
        <w:ind w:left="6360" w:hanging="370"/>
      </w:pPr>
      <w:rPr>
        <w:rFonts w:hint="default"/>
      </w:rPr>
    </w:lvl>
    <w:lvl w:ilvl="8">
      <w:start w:val="0"/>
      <w:numFmt w:val="bullet"/>
      <w:lvlText w:val="•"/>
      <w:lvlJc w:val="left"/>
      <w:pPr>
        <w:ind w:left="7460" w:hanging="370"/>
      </w:pPr>
      <w:rPr>
        <w:rFonts w:hint="default"/>
      </w:rPr>
    </w:lvl>
  </w:abstractNum>
  <w:abstractNum w:abstractNumId="16">
    <w:multiLevelType w:val="hybridMultilevel"/>
    <w:lvl w:ilvl="0">
      <w:start w:val="3"/>
      <w:numFmt w:val="upperLetter"/>
      <w:lvlText w:val="%1)"/>
      <w:lvlJc w:val="left"/>
      <w:pPr>
        <w:ind w:left="69" w:hanging="171"/>
        <w:jc w:val="left"/>
      </w:pPr>
      <w:rPr>
        <w:rFonts w:hint="default" w:ascii="Calibri" w:hAnsi="Calibri" w:eastAsia="Calibri" w:cs="Calibri"/>
        <w:w w:val="100"/>
        <w:sz w:val="16"/>
        <w:szCs w:val="16"/>
      </w:rPr>
    </w:lvl>
    <w:lvl w:ilvl="1">
      <w:start w:val="0"/>
      <w:numFmt w:val="bullet"/>
      <w:lvlText w:val="•"/>
      <w:lvlJc w:val="left"/>
      <w:pPr>
        <w:ind w:left="576" w:hanging="171"/>
      </w:pPr>
      <w:rPr>
        <w:rFonts w:hint="default"/>
      </w:rPr>
    </w:lvl>
    <w:lvl w:ilvl="2">
      <w:start w:val="0"/>
      <w:numFmt w:val="bullet"/>
      <w:lvlText w:val="•"/>
      <w:lvlJc w:val="left"/>
      <w:pPr>
        <w:ind w:left="1093" w:hanging="171"/>
      </w:pPr>
      <w:rPr>
        <w:rFonts w:hint="default"/>
      </w:rPr>
    </w:lvl>
    <w:lvl w:ilvl="3">
      <w:start w:val="0"/>
      <w:numFmt w:val="bullet"/>
      <w:lvlText w:val="•"/>
      <w:lvlJc w:val="left"/>
      <w:pPr>
        <w:ind w:left="1610" w:hanging="171"/>
      </w:pPr>
      <w:rPr>
        <w:rFonts w:hint="default"/>
      </w:rPr>
    </w:lvl>
    <w:lvl w:ilvl="4">
      <w:start w:val="0"/>
      <w:numFmt w:val="bullet"/>
      <w:lvlText w:val="•"/>
      <w:lvlJc w:val="left"/>
      <w:pPr>
        <w:ind w:left="2127" w:hanging="171"/>
      </w:pPr>
      <w:rPr>
        <w:rFonts w:hint="default"/>
      </w:rPr>
    </w:lvl>
    <w:lvl w:ilvl="5">
      <w:start w:val="0"/>
      <w:numFmt w:val="bullet"/>
      <w:lvlText w:val="•"/>
      <w:lvlJc w:val="left"/>
      <w:pPr>
        <w:ind w:left="2644" w:hanging="171"/>
      </w:pPr>
      <w:rPr>
        <w:rFonts w:hint="default"/>
      </w:rPr>
    </w:lvl>
    <w:lvl w:ilvl="6">
      <w:start w:val="0"/>
      <w:numFmt w:val="bullet"/>
      <w:lvlText w:val="•"/>
      <w:lvlJc w:val="left"/>
      <w:pPr>
        <w:ind w:left="3161" w:hanging="171"/>
      </w:pPr>
      <w:rPr>
        <w:rFonts w:hint="default"/>
      </w:rPr>
    </w:lvl>
    <w:lvl w:ilvl="7">
      <w:start w:val="0"/>
      <w:numFmt w:val="bullet"/>
      <w:lvlText w:val="•"/>
      <w:lvlJc w:val="left"/>
      <w:pPr>
        <w:ind w:left="3678" w:hanging="171"/>
      </w:pPr>
      <w:rPr>
        <w:rFonts w:hint="default"/>
      </w:rPr>
    </w:lvl>
    <w:lvl w:ilvl="8">
      <w:start w:val="0"/>
      <w:numFmt w:val="bullet"/>
      <w:lvlText w:val="•"/>
      <w:lvlJc w:val="left"/>
      <w:pPr>
        <w:ind w:left="4195" w:hanging="171"/>
      </w:pPr>
      <w:rPr>
        <w:rFonts w:hint="default"/>
      </w:rPr>
    </w:lvl>
  </w:abstractNum>
  <w:abstractNum w:abstractNumId="15">
    <w:multiLevelType w:val="hybridMultilevel"/>
    <w:lvl w:ilvl="0">
      <w:start w:val="1"/>
      <w:numFmt w:val="upperLetter"/>
      <w:lvlText w:val="%1)"/>
      <w:lvlJc w:val="left"/>
      <w:pPr>
        <w:ind w:left="69" w:hanging="178"/>
        <w:jc w:val="left"/>
      </w:pPr>
      <w:rPr>
        <w:rFonts w:hint="default" w:ascii="Calibri" w:hAnsi="Calibri" w:eastAsia="Calibri" w:cs="Calibri"/>
        <w:w w:val="100"/>
        <w:sz w:val="16"/>
        <w:szCs w:val="16"/>
      </w:rPr>
    </w:lvl>
    <w:lvl w:ilvl="1">
      <w:start w:val="0"/>
      <w:numFmt w:val="bullet"/>
      <w:lvlText w:val="•"/>
      <w:lvlJc w:val="left"/>
      <w:pPr>
        <w:ind w:left="576" w:hanging="178"/>
      </w:pPr>
      <w:rPr>
        <w:rFonts w:hint="default"/>
      </w:rPr>
    </w:lvl>
    <w:lvl w:ilvl="2">
      <w:start w:val="0"/>
      <w:numFmt w:val="bullet"/>
      <w:lvlText w:val="•"/>
      <w:lvlJc w:val="left"/>
      <w:pPr>
        <w:ind w:left="1093" w:hanging="178"/>
      </w:pPr>
      <w:rPr>
        <w:rFonts w:hint="default"/>
      </w:rPr>
    </w:lvl>
    <w:lvl w:ilvl="3">
      <w:start w:val="0"/>
      <w:numFmt w:val="bullet"/>
      <w:lvlText w:val="•"/>
      <w:lvlJc w:val="left"/>
      <w:pPr>
        <w:ind w:left="1610" w:hanging="178"/>
      </w:pPr>
      <w:rPr>
        <w:rFonts w:hint="default"/>
      </w:rPr>
    </w:lvl>
    <w:lvl w:ilvl="4">
      <w:start w:val="0"/>
      <w:numFmt w:val="bullet"/>
      <w:lvlText w:val="•"/>
      <w:lvlJc w:val="left"/>
      <w:pPr>
        <w:ind w:left="2127" w:hanging="178"/>
      </w:pPr>
      <w:rPr>
        <w:rFonts w:hint="default"/>
      </w:rPr>
    </w:lvl>
    <w:lvl w:ilvl="5">
      <w:start w:val="0"/>
      <w:numFmt w:val="bullet"/>
      <w:lvlText w:val="•"/>
      <w:lvlJc w:val="left"/>
      <w:pPr>
        <w:ind w:left="2644" w:hanging="178"/>
      </w:pPr>
      <w:rPr>
        <w:rFonts w:hint="default"/>
      </w:rPr>
    </w:lvl>
    <w:lvl w:ilvl="6">
      <w:start w:val="0"/>
      <w:numFmt w:val="bullet"/>
      <w:lvlText w:val="•"/>
      <w:lvlJc w:val="left"/>
      <w:pPr>
        <w:ind w:left="3161" w:hanging="178"/>
      </w:pPr>
      <w:rPr>
        <w:rFonts w:hint="default"/>
      </w:rPr>
    </w:lvl>
    <w:lvl w:ilvl="7">
      <w:start w:val="0"/>
      <w:numFmt w:val="bullet"/>
      <w:lvlText w:val="•"/>
      <w:lvlJc w:val="left"/>
      <w:pPr>
        <w:ind w:left="3678" w:hanging="178"/>
      </w:pPr>
      <w:rPr>
        <w:rFonts w:hint="default"/>
      </w:rPr>
    </w:lvl>
    <w:lvl w:ilvl="8">
      <w:start w:val="0"/>
      <w:numFmt w:val="bullet"/>
      <w:lvlText w:val="•"/>
      <w:lvlJc w:val="left"/>
      <w:pPr>
        <w:ind w:left="4195" w:hanging="178"/>
      </w:pPr>
      <w:rPr>
        <w:rFonts w:hint="default"/>
      </w:rPr>
    </w:lvl>
  </w:abstractNum>
  <w:abstractNum w:abstractNumId="14">
    <w:multiLevelType w:val="hybridMultilevel"/>
    <w:lvl w:ilvl="0">
      <w:start w:val="5"/>
      <w:numFmt w:val="upperLetter"/>
      <w:lvlText w:val="%1)"/>
      <w:lvlJc w:val="left"/>
      <w:pPr>
        <w:ind w:left="69" w:hanging="164"/>
        <w:jc w:val="left"/>
      </w:pPr>
      <w:rPr>
        <w:rFonts w:hint="default" w:ascii="Calibri" w:hAnsi="Calibri" w:eastAsia="Calibri" w:cs="Calibri"/>
        <w:w w:val="100"/>
        <w:sz w:val="16"/>
        <w:szCs w:val="16"/>
      </w:rPr>
    </w:lvl>
    <w:lvl w:ilvl="1">
      <w:start w:val="0"/>
      <w:numFmt w:val="bullet"/>
      <w:lvlText w:val="•"/>
      <w:lvlJc w:val="left"/>
      <w:pPr>
        <w:ind w:left="576" w:hanging="164"/>
      </w:pPr>
      <w:rPr>
        <w:rFonts w:hint="default"/>
      </w:rPr>
    </w:lvl>
    <w:lvl w:ilvl="2">
      <w:start w:val="0"/>
      <w:numFmt w:val="bullet"/>
      <w:lvlText w:val="•"/>
      <w:lvlJc w:val="left"/>
      <w:pPr>
        <w:ind w:left="1093" w:hanging="164"/>
      </w:pPr>
      <w:rPr>
        <w:rFonts w:hint="default"/>
      </w:rPr>
    </w:lvl>
    <w:lvl w:ilvl="3">
      <w:start w:val="0"/>
      <w:numFmt w:val="bullet"/>
      <w:lvlText w:val="•"/>
      <w:lvlJc w:val="left"/>
      <w:pPr>
        <w:ind w:left="1610" w:hanging="164"/>
      </w:pPr>
      <w:rPr>
        <w:rFonts w:hint="default"/>
      </w:rPr>
    </w:lvl>
    <w:lvl w:ilvl="4">
      <w:start w:val="0"/>
      <w:numFmt w:val="bullet"/>
      <w:lvlText w:val="•"/>
      <w:lvlJc w:val="left"/>
      <w:pPr>
        <w:ind w:left="2127" w:hanging="164"/>
      </w:pPr>
      <w:rPr>
        <w:rFonts w:hint="default"/>
      </w:rPr>
    </w:lvl>
    <w:lvl w:ilvl="5">
      <w:start w:val="0"/>
      <w:numFmt w:val="bullet"/>
      <w:lvlText w:val="•"/>
      <w:lvlJc w:val="left"/>
      <w:pPr>
        <w:ind w:left="2644" w:hanging="164"/>
      </w:pPr>
      <w:rPr>
        <w:rFonts w:hint="default"/>
      </w:rPr>
    </w:lvl>
    <w:lvl w:ilvl="6">
      <w:start w:val="0"/>
      <w:numFmt w:val="bullet"/>
      <w:lvlText w:val="•"/>
      <w:lvlJc w:val="left"/>
      <w:pPr>
        <w:ind w:left="3161" w:hanging="164"/>
      </w:pPr>
      <w:rPr>
        <w:rFonts w:hint="default"/>
      </w:rPr>
    </w:lvl>
    <w:lvl w:ilvl="7">
      <w:start w:val="0"/>
      <w:numFmt w:val="bullet"/>
      <w:lvlText w:val="•"/>
      <w:lvlJc w:val="left"/>
      <w:pPr>
        <w:ind w:left="3678" w:hanging="164"/>
      </w:pPr>
      <w:rPr>
        <w:rFonts w:hint="default"/>
      </w:rPr>
    </w:lvl>
    <w:lvl w:ilvl="8">
      <w:start w:val="0"/>
      <w:numFmt w:val="bullet"/>
      <w:lvlText w:val="•"/>
      <w:lvlJc w:val="left"/>
      <w:pPr>
        <w:ind w:left="4195" w:hanging="164"/>
      </w:pPr>
      <w:rPr>
        <w:rFonts w:hint="default"/>
      </w:rPr>
    </w:lvl>
  </w:abstractNum>
  <w:abstractNum w:abstractNumId="13">
    <w:multiLevelType w:val="hybridMultilevel"/>
    <w:lvl w:ilvl="0">
      <w:start w:val="3"/>
      <w:numFmt w:val="upperLetter"/>
      <w:lvlText w:val="%1)"/>
      <w:lvlJc w:val="left"/>
      <w:pPr>
        <w:ind w:left="69" w:hanging="171"/>
        <w:jc w:val="left"/>
      </w:pPr>
      <w:rPr>
        <w:rFonts w:hint="default" w:ascii="Calibri" w:hAnsi="Calibri" w:eastAsia="Calibri" w:cs="Calibri"/>
        <w:w w:val="100"/>
        <w:sz w:val="16"/>
        <w:szCs w:val="16"/>
      </w:rPr>
    </w:lvl>
    <w:lvl w:ilvl="1">
      <w:start w:val="0"/>
      <w:numFmt w:val="bullet"/>
      <w:lvlText w:val="•"/>
      <w:lvlJc w:val="left"/>
      <w:pPr>
        <w:ind w:left="576" w:hanging="171"/>
      </w:pPr>
      <w:rPr>
        <w:rFonts w:hint="default"/>
      </w:rPr>
    </w:lvl>
    <w:lvl w:ilvl="2">
      <w:start w:val="0"/>
      <w:numFmt w:val="bullet"/>
      <w:lvlText w:val="•"/>
      <w:lvlJc w:val="left"/>
      <w:pPr>
        <w:ind w:left="1093" w:hanging="171"/>
      </w:pPr>
      <w:rPr>
        <w:rFonts w:hint="default"/>
      </w:rPr>
    </w:lvl>
    <w:lvl w:ilvl="3">
      <w:start w:val="0"/>
      <w:numFmt w:val="bullet"/>
      <w:lvlText w:val="•"/>
      <w:lvlJc w:val="left"/>
      <w:pPr>
        <w:ind w:left="1610" w:hanging="171"/>
      </w:pPr>
      <w:rPr>
        <w:rFonts w:hint="default"/>
      </w:rPr>
    </w:lvl>
    <w:lvl w:ilvl="4">
      <w:start w:val="0"/>
      <w:numFmt w:val="bullet"/>
      <w:lvlText w:val="•"/>
      <w:lvlJc w:val="left"/>
      <w:pPr>
        <w:ind w:left="2127" w:hanging="171"/>
      </w:pPr>
      <w:rPr>
        <w:rFonts w:hint="default"/>
      </w:rPr>
    </w:lvl>
    <w:lvl w:ilvl="5">
      <w:start w:val="0"/>
      <w:numFmt w:val="bullet"/>
      <w:lvlText w:val="•"/>
      <w:lvlJc w:val="left"/>
      <w:pPr>
        <w:ind w:left="2644" w:hanging="171"/>
      </w:pPr>
      <w:rPr>
        <w:rFonts w:hint="default"/>
      </w:rPr>
    </w:lvl>
    <w:lvl w:ilvl="6">
      <w:start w:val="0"/>
      <w:numFmt w:val="bullet"/>
      <w:lvlText w:val="•"/>
      <w:lvlJc w:val="left"/>
      <w:pPr>
        <w:ind w:left="3161" w:hanging="171"/>
      </w:pPr>
      <w:rPr>
        <w:rFonts w:hint="default"/>
      </w:rPr>
    </w:lvl>
    <w:lvl w:ilvl="7">
      <w:start w:val="0"/>
      <w:numFmt w:val="bullet"/>
      <w:lvlText w:val="•"/>
      <w:lvlJc w:val="left"/>
      <w:pPr>
        <w:ind w:left="3678" w:hanging="171"/>
      </w:pPr>
      <w:rPr>
        <w:rFonts w:hint="default"/>
      </w:rPr>
    </w:lvl>
    <w:lvl w:ilvl="8">
      <w:start w:val="0"/>
      <w:numFmt w:val="bullet"/>
      <w:lvlText w:val="•"/>
      <w:lvlJc w:val="left"/>
      <w:pPr>
        <w:ind w:left="4195" w:hanging="171"/>
      </w:pPr>
      <w:rPr>
        <w:rFonts w:hint="default"/>
      </w:rPr>
    </w:lvl>
  </w:abstractNum>
  <w:abstractNum w:abstractNumId="12">
    <w:multiLevelType w:val="hybridMultilevel"/>
    <w:lvl w:ilvl="0">
      <w:start w:val="1"/>
      <w:numFmt w:val="upperLetter"/>
      <w:lvlText w:val="%1)"/>
      <w:lvlJc w:val="left"/>
      <w:pPr>
        <w:ind w:left="69" w:hanging="178"/>
        <w:jc w:val="left"/>
      </w:pPr>
      <w:rPr>
        <w:rFonts w:hint="default" w:ascii="Calibri" w:hAnsi="Calibri" w:eastAsia="Calibri" w:cs="Calibri"/>
        <w:w w:val="100"/>
        <w:sz w:val="16"/>
        <w:szCs w:val="16"/>
      </w:rPr>
    </w:lvl>
    <w:lvl w:ilvl="1">
      <w:start w:val="0"/>
      <w:numFmt w:val="bullet"/>
      <w:lvlText w:val="•"/>
      <w:lvlJc w:val="left"/>
      <w:pPr>
        <w:ind w:left="576" w:hanging="178"/>
      </w:pPr>
      <w:rPr>
        <w:rFonts w:hint="default"/>
      </w:rPr>
    </w:lvl>
    <w:lvl w:ilvl="2">
      <w:start w:val="0"/>
      <w:numFmt w:val="bullet"/>
      <w:lvlText w:val="•"/>
      <w:lvlJc w:val="left"/>
      <w:pPr>
        <w:ind w:left="1093" w:hanging="178"/>
      </w:pPr>
      <w:rPr>
        <w:rFonts w:hint="default"/>
      </w:rPr>
    </w:lvl>
    <w:lvl w:ilvl="3">
      <w:start w:val="0"/>
      <w:numFmt w:val="bullet"/>
      <w:lvlText w:val="•"/>
      <w:lvlJc w:val="left"/>
      <w:pPr>
        <w:ind w:left="1610" w:hanging="178"/>
      </w:pPr>
      <w:rPr>
        <w:rFonts w:hint="default"/>
      </w:rPr>
    </w:lvl>
    <w:lvl w:ilvl="4">
      <w:start w:val="0"/>
      <w:numFmt w:val="bullet"/>
      <w:lvlText w:val="•"/>
      <w:lvlJc w:val="left"/>
      <w:pPr>
        <w:ind w:left="2127" w:hanging="178"/>
      </w:pPr>
      <w:rPr>
        <w:rFonts w:hint="default"/>
      </w:rPr>
    </w:lvl>
    <w:lvl w:ilvl="5">
      <w:start w:val="0"/>
      <w:numFmt w:val="bullet"/>
      <w:lvlText w:val="•"/>
      <w:lvlJc w:val="left"/>
      <w:pPr>
        <w:ind w:left="2644" w:hanging="178"/>
      </w:pPr>
      <w:rPr>
        <w:rFonts w:hint="default"/>
      </w:rPr>
    </w:lvl>
    <w:lvl w:ilvl="6">
      <w:start w:val="0"/>
      <w:numFmt w:val="bullet"/>
      <w:lvlText w:val="•"/>
      <w:lvlJc w:val="left"/>
      <w:pPr>
        <w:ind w:left="3161" w:hanging="178"/>
      </w:pPr>
      <w:rPr>
        <w:rFonts w:hint="default"/>
      </w:rPr>
    </w:lvl>
    <w:lvl w:ilvl="7">
      <w:start w:val="0"/>
      <w:numFmt w:val="bullet"/>
      <w:lvlText w:val="•"/>
      <w:lvlJc w:val="left"/>
      <w:pPr>
        <w:ind w:left="3678" w:hanging="178"/>
      </w:pPr>
      <w:rPr>
        <w:rFonts w:hint="default"/>
      </w:rPr>
    </w:lvl>
    <w:lvl w:ilvl="8">
      <w:start w:val="0"/>
      <w:numFmt w:val="bullet"/>
      <w:lvlText w:val="•"/>
      <w:lvlJc w:val="left"/>
      <w:pPr>
        <w:ind w:left="4195" w:hanging="178"/>
      </w:pPr>
      <w:rPr>
        <w:rFonts w:hint="default"/>
      </w:rPr>
    </w:lvl>
  </w:abstractNum>
  <w:abstractNum w:abstractNumId="11">
    <w:multiLevelType w:val="hybridMultilevel"/>
    <w:lvl w:ilvl="0">
      <w:start w:val="5"/>
      <w:numFmt w:val="decimal"/>
      <w:lvlText w:val="%1."/>
      <w:lvlJc w:val="left"/>
      <w:pPr>
        <w:ind w:left="121" w:hanging="634"/>
        <w:jc w:val="left"/>
      </w:pPr>
      <w:rPr>
        <w:rFonts w:hint="default" w:ascii="Calibri" w:hAnsi="Calibri" w:eastAsia="Calibri" w:cs="Calibri"/>
        <w:b/>
        <w:bCs/>
        <w:spacing w:val="-1"/>
        <w:w w:val="100"/>
        <w:sz w:val="28"/>
        <w:szCs w:val="28"/>
      </w:rPr>
    </w:lvl>
    <w:lvl w:ilvl="1">
      <w:start w:val="0"/>
      <w:numFmt w:val="bullet"/>
      <w:lvlText w:val="•"/>
      <w:lvlJc w:val="left"/>
      <w:pPr>
        <w:ind w:left="1074" w:hanging="634"/>
      </w:pPr>
      <w:rPr>
        <w:rFonts w:hint="default"/>
      </w:rPr>
    </w:lvl>
    <w:lvl w:ilvl="2">
      <w:start w:val="0"/>
      <w:numFmt w:val="bullet"/>
      <w:lvlText w:val="•"/>
      <w:lvlJc w:val="left"/>
      <w:pPr>
        <w:ind w:left="2028" w:hanging="634"/>
      </w:pPr>
      <w:rPr>
        <w:rFonts w:hint="default"/>
      </w:rPr>
    </w:lvl>
    <w:lvl w:ilvl="3">
      <w:start w:val="0"/>
      <w:numFmt w:val="bullet"/>
      <w:lvlText w:val="•"/>
      <w:lvlJc w:val="left"/>
      <w:pPr>
        <w:ind w:left="2982" w:hanging="634"/>
      </w:pPr>
      <w:rPr>
        <w:rFonts w:hint="default"/>
      </w:rPr>
    </w:lvl>
    <w:lvl w:ilvl="4">
      <w:start w:val="0"/>
      <w:numFmt w:val="bullet"/>
      <w:lvlText w:val="•"/>
      <w:lvlJc w:val="left"/>
      <w:pPr>
        <w:ind w:left="3936" w:hanging="634"/>
      </w:pPr>
      <w:rPr>
        <w:rFonts w:hint="default"/>
      </w:rPr>
    </w:lvl>
    <w:lvl w:ilvl="5">
      <w:start w:val="0"/>
      <w:numFmt w:val="bullet"/>
      <w:lvlText w:val="•"/>
      <w:lvlJc w:val="left"/>
      <w:pPr>
        <w:ind w:left="4890" w:hanging="634"/>
      </w:pPr>
      <w:rPr>
        <w:rFonts w:hint="default"/>
      </w:rPr>
    </w:lvl>
    <w:lvl w:ilvl="6">
      <w:start w:val="0"/>
      <w:numFmt w:val="bullet"/>
      <w:lvlText w:val="•"/>
      <w:lvlJc w:val="left"/>
      <w:pPr>
        <w:ind w:left="5844" w:hanging="634"/>
      </w:pPr>
      <w:rPr>
        <w:rFonts w:hint="default"/>
      </w:rPr>
    </w:lvl>
    <w:lvl w:ilvl="7">
      <w:start w:val="0"/>
      <w:numFmt w:val="bullet"/>
      <w:lvlText w:val="•"/>
      <w:lvlJc w:val="left"/>
      <w:pPr>
        <w:ind w:left="6798" w:hanging="634"/>
      </w:pPr>
      <w:rPr>
        <w:rFonts w:hint="default"/>
      </w:rPr>
    </w:lvl>
    <w:lvl w:ilvl="8">
      <w:start w:val="0"/>
      <w:numFmt w:val="bullet"/>
      <w:lvlText w:val="•"/>
      <w:lvlJc w:val="left"/>
      <w:pPr>
        <w:ind w:left="7752" w:hanging="634"/>
      </w:pPr>
      <w:rPr>
        <w:rFonts w:hint="default"/>
      </w:rPr>
    </w:lvl>
  </w:abstractNum>
  <w:abstractNum w:abstractNumId="10">
    <w:multiLevelType w:val="hybridMultilevel"/>
    <w:lvl w:ilvl="0">
      <w:start w:val="1"/>
      <w:numFmt w:val="lowerLetter"/>
      <w:lvlText w:val="%1)"/>
      <w:lvlJc w:val="left"/>
      <w:pPr>
        <w:ind w:left="313" w:hanging="192"/>
        <w:jc w:val="left"/>
      </w:pPr>
      <w:rPr>
        <w:rFonts w:hint="default" w:ascii="Calibri" w:hAnsi="Calibri" w:eastAsia="Calibri" w:cs="Calibri"/>
        <w:w w:val="99"/>
        <w:sz w:val="19"/>
        <w:szCs w:val="19"/>
      </w:rPr>
    </w:lvl>
    <w:lvl w:ilvl="1">
      <w:start w:val="0"/>
      <w:numFmt w:val="bullet"/>
      <w:lvlText w:val="•"/>
      <w:lvlJc w:val="left"/>
      <w:pPr>
        <w:ind w:left="1254" w:hanging="192"/>
      </w:pPr>
      <w:rPr>
        <w:rFonts w:hint="default"/>
      </w:rPr>
    </w:lvl>
    <w:lvl w:ilvl="2">
      <w:start w:val="0"/>
      <w:numFmt w:val="bullet"/>
      <w:lvlText w:val="•"/>
      <w:lvlJc w:val="left"/>
      <w:pPr>
        <w:ind w:left="2188" w:hanging="192"/>
      </w:pPr>
      <w:rPr>
        <w:rFonts w:hint="default"/>
      </w:rPr>
    </w:lvl>
    <w:lvl w:ilvl="3">
      <w:start w:val="0"/>
      <w:numFmt w:val="bullet"/>
      <w:lvlText w:val="•"/>
      <w:lvlJc w:val="left"/>
      <w:pPr>
        <w:ind w:left="3122" w:hanging="192"/>
      </w:pPr>
      <w:rPr>
        <w:rFonts w:hint="default"/>
      </w:rPr>
    </w:lvl>
    <w:lvl w:ilvl="4">
      <w:start w:val="0"/>
      <w:numFmt w:val="bullet"/>
      <w:lvlText w:val="•"/>
      <w:lvlJc w:val="left"/>
      <w:pPr>
        <w:ind w:left="4056" w:hanging="192"/>
      </w:pPr>
      <w:rPr>
        <w:rFonts w:hint="default"/>
      </w:rPr>
    </w:lvl>
    <w:lvl w:ilvl="5">
      <w:start w:val="0"/>
      <w:numFmt w:val="bullet"/>
      <w:lvlText w:val="•"/>
      <w:lvlJc w:val="left"/>
      <w:pPr>
        <w:ind w:left="4990" w:hanging="192"/>
      </w:pPr>
      <w:rPr>
        <w:rFonts w:hint="default"/>
      </w:rPr>
    </w:lvl>
    <w:lvl w:ilvl="6">
      <w:start w:val="0"/>
      <w:numFmt w:val="bullet"/>
      <w:lvlText w:val="•"/>
      <w:lvlJc w:val="left"/>
      <w:pPr>
        <w:ind w:left="5924" w:hanging="192"/>
      </w:pPr>
      <w:rPr>
        <w:rFonts w:hint="default"/>
      </w:rPr>
    </w:lvl>
    <w:lvl w:ilvl="7">
      <w:start w:val="0"/>
      <w:numFmt w:val="bullet"/>
      <w:lvlText w:val="•"/>
      <w:lvlJc w:val="left"/>
      <w:pPr>
        <w:ind w:left="6858" w:hanging="192"/>
      </w:pPr>
      <w:rPr>
        <w:rFonts w:hint="default"/>
      </w:rPr>
    </w:lvl>
    <w:lvl w:ilvl="8">
      <w:start w:val="0"/>
      <w:numFmt w:val="bullet"/>
      <w:lvlText w:val="•"/>
      <w:lvlJc w:val="left"/>
      <w:pPr>
        <w:ind w:left="7792" w:hanging="192"/>
      </w:pPr>
      <w:rPr>
        <w:rFonts w:hint="default"/>
      </w:rPr>
    </w:lvl>
  </w:abstractNum>
  <w:abstractNum w:abstractNumId="9">
    <w:multiLevelType w:val="hybridMultilevel"/>
    <w:lvl w:ilvl="0">
      <w:start w:val="1"/>
      <w:numFmt w:val="lowerLetter"/>
      <w:lvlText w:val="%1)"/>
      <w:lvlJc w:val="left"/>
      <w:pPr>
        <w:ind w:left="121" w:hanging="202"/>
        <w:jc w:val="left"/>
      </w:pPr>
      <w:rPr>
        <w:rFonts w:hint="default" w:ascii="Calibri" w:hAnsi="Calibri" w:eastAsia="Calibri" w:cs="Calibri"/>
        <w:w w:val="99"/>
        <w:sz w:val="19"/>
        <w:szCs w:val="19"/>
      </w:rPr>
    </w:lvl>
    <w:lvl w:ilvl="1">
      <w:start w:val="0"/>
      <w:numFmt w:val="bullet"/>
      <w:lvlText w:val="•"/>
      <w:lvlJc w:val="left"/>
      <w:pPr>
        <w:ind w:left="1074" w:hanging="202"/>
      </w:pPr>
      <w:rPr>
        <w:rFonts w:hint="default"/>
      </w:rPr>
    </w:lvl>
    <w:lvl w:ilvl="2">
      <w:start w:val="0"/>
      <w:numFmt w:val="bullet"/>
      <w:lvlText w:val="•"/>
      <w:lvlJc w:val="left"/>
      <w:pPr>
        <w:ind w:left="2028" w:hanging="202"/>
      </w:pPr>
      <w:rPr>
        <w:rFonts w:hint="default"/>
      </w:rPr>
    </w:lvl>
    <w:lvl w:ilvl="3">
      <w:start w:val="0"/>
      <w:numFmt w:val="bullet"/>
      <w:lvlText w:val="•"/>
      <w:lvlJc w:val="left"/>
      <w:pPr>
        <w:ind w:left="2982" w:hanging="202"/>
      </w:pPr>
      <w:rPr>
        <w:rFonts w:hint="default"/>
      </w:rPr>
    </w:lvl>
    <w:lvl w:ilvl="4">
      <w:start w:val="0"/>
      <w:numFmt w:val="bullet"/>
      <w:lvlText w:val="•"/>
      <w:lvlJc w:val="left"/>
      <w:pPr>
        <w:ind w:left="3936" w:hanging="202"/>
      </w:pPr>
      <w:rPr>
        <w:rFonts w:hint="default"/>
      </w:rPr>
    </w:lvl>
    <w:lvl w:ilvl="5">
      <w:start w:val="0"/>
      <w:numFmt w:val="bullet"/>
      <w:lvlText w:val="•"/>
      <w:lvlJc w:val="left"/>
      <w:pPr>
        <w:ind w:left="4890" w:hanging="202"/>
      </w:pPr>
      <w:rPr>
        <w:rFonts w:hint="default"/>
      </w:rPr>
    </w:lvl>
    <w:lvl w:ilvl="6">
      <w:start w:val="0"/>
      <w:numFmt w:val="bullet"/>
      <w:lvlText w:val="•"/>
      <w:lvlJc w:val="left"/>
      <w:pPr>
        <w:ind w:left="5844" w:hanging="202"/>
      </w:pPr>
      <w:rPr>
        <w:rFonts w:hint="default"/>
      </w:rPr>
    </w:lvl>
    <w:lvl w:ilvl="7">
      <w:start w:val="0"/>
      <w:numFmt w:val="bullet"/>
      <w:lvlText w:val="•"/>
      <w:lvlJc w:val="left"/>
      <w:pPr>
        <w:ind w:left="6798" w:hanging="202"/>
      </w:pPr>
      <w:rPr>
        <w:rFonts w:hint="default"/>
      </w:rPr>
    </w:lvl>
    <w:lvl w:ilvl="8">
      <w:start w:val="0"/>
      <w:numFmt w:val="bullet"/>
      <w:lvlText w:val="•"/>
      <w:lvlJc w:val="left"/>
      <w:pPr>
        <w:ind w:left="7752" w:hanging="202"/>
      </w:pPr>
      <w:rPr>
        <w:rFonts w:hint="default"/>
      </w:rPr>
    </w:lvl>
  </w:abstractNum>
  <w:abstractNum w:abstractNumId="8">
    <w:multiLevelType w:val="hybridMultilevel"/>
    <w:lvl w:ilvl="0">
      <w:start w:val="1"/>
      <w:numFmt w:val="lowerLetter"/>
      <w:lvlText w:val="%1)"/>
      <w:lvlJc w:val="left"/>
      <w:pPr>
        <w:ind w:left="121" w:hanging="228"/>
        <w:jc w:val="left"/>
      </w:pPr>
      <w:rPr>
        <w:rFonts w:hint="default" w:ascii="Calibri" w:hAnsi="Calibri" w:eastAsia="Calibri" w:cs="Calibri"/>
        <w:w w:val="99"/>
        <w:sz w:val="19"/>
        <w:szCs w:val="19"/>
      </w:rPr>
    </w:lvl>
    <w:lvl w:ilvl="1">
      <w:start w:val="0"/>
      <w:numFmt w:val="bullet"/>
      <w:lvlText w:val="•"/>
      <w:lvlJc w:val="left"/>
      <w:pPr>
        <w:ind w:left="1074" w:hanging="228"/>
      </w:pPr>
      <w:rPr>
        <w:rFonts w:hint="default"/>
      </w:rPr>
    </w:lvl>
    <w:lvl w:ilvl="2">
      <w:start w:val="0"/>
      <w:numFmt w:val="bullet"/>
      <w:lvlText w:val="•"/>
      <w:lvlJc w:val="left"/>
      <w:pPr>
        <w:ind w:left="2028" w:hanging="228"/>
      </w:pPr>
      <w:rPr>
        <w:rFonts w:hint="default"/>
      </w:rPr>
    </w:lvl>
    <w:lvl w:ilvl="3">
      <w:start w:val="0"/>
      <w:numFmt w:val="bullet"/>
      <w:lvlText w:val="•"/>
      <w:lvlJc w:val="left"/>
      <w:pPr>
        <w:ind w:left="2982" w:hanging="228"/>
      </w:pPr>
      <w:rPr>
        <w:rFonts w:hint="default"/>
      </w:rPr>
    </w:lvl>
    <w:lvl w:ilvl="4">
      <w:start w:val="0"/>
      <w:numFmt w:val="bullet"/>
      <w:lvlText w:val="•"/>
      <w:lvlJc w:val="left"/>
      <w:pPr>
        <w:ind w:left="3936" w:hanging="228"/>
      </w:pPr>
      <w:rPr>
        <w:rFonts w:hint="default"/>
      </w:rPr>
    </w:lvl>
    <w:lvl w:ilvl="5">
      <w:start w:val="0"/>
      <w:numFmt w:val="bullet"/>
      <w:lvlText w:val="•"/>
      <w:lvlJc w:val="left"/>
      <w:pPr>
        <w:ind w:left="4890" w:hanging="228"/>
      </w:pPr>
      <w:rPr>
        <w:rFonts w:hint="default"/>
      </w:rPr>
    </w:lvl>
    <w:lvl w:ilvl="6">
      <w:start w:val="0"/>
      <w:numFmt w:val="bullet"/>
      <w:lvlText w:val="•"/>
      <w:lvlJc w:val="left"/>
      <w:pPr>
        <w:ind w:left="5844" w:hanging="228"/>
      </w:pPr>
      <w:rPr>
        <w:rFonts w:hint="default"/>
      </w:rPr>
    </w:lvl>
    <w:lvl w:ilvl="7">
      <w:start w:val="0"/>
      <w:numFmt w:val="bullet"/>
      <w:lvlText w:val="•"/>
      <w:lvlJc w:val="left"/>
      <w:pPr>
        <w:ind w:left="6798" w:hanging="228"/>
      </w:pPr>
      <w:rPr>
        <w:rFonts w:hint="default"/>
      </w:rPr>
    </w:lvl>
    <w:lvl w:ilvl="8">
      <w:start w:val="0"/>
      <w:numFmt w:val="bullet"/>
      <w:lvlText w:val="•"/>
      <w:lvlJc w:val="left"/>
      <w:pPr>
        <w:ind w:left="7752" w:hanging="228"/>
      </w:pPr>
      <w:rPr>
        <w:rFonts w:hint="default"/>
      </w:rPr>
    </w:lvl>
  </w:abstractNum>
  <w:abstractNum w:abstractNumId="7">
    <w:multiLevelType w:val="hybridMultilevel"/>
    <w:lvl w:ilvl="0">
      <w:start w:val="4"/>
      <w:numFmt w:val="decimal"/>
      <w:lvlText w:val="%1"/>
      <w:lvlJc w:val="left"/>
      <w:pPr>
        <w:ind w:left="596" w:hanging="476"/>
        <w:jc w:val="left"/>
      </w:pPr>
      <w:rPr>
        <w:rFonts w:hint="default"/>
      </w:rPr>
    </w:lvl>
    <w:lvl w:ilvl="1">
      <w:start w:val="7"/>
      <w:numFmt w:val="decimal"/>
      <w:lvlText w:val="%1.%2"/>
      <w:lvlJc w:val="left"/>
      <w:pPr>
        <w:ind w:left="596" w:hanging="476"/>
        <w:jc w:val="left"/>
      </w:pPr>
      <w:rPr>
        <w:rFonts w:hint="default"/>
      </w:rPr>
    </w:lvl>
    <w:lvl w:ilvl="2">
      <w:start w:val="1"/>
      <w:numFmt w:val="decimal"/>
      <w:lvlText w:val="%1.%2.%3."/>
      <w:lvlJc w:val="left"/>
      <w:pPr>
        <w:ind w:left="596" w:hanging="476"/>
        <w:jc w:val="left"/>
      </w:pPr>
      <w:rPr>
        <w:rFonts w:hint="default" w:ascii="Calibri" w:hAnsi="Calibri" w:eastAsia="Calibri" w:cs="Calibri"/>
        <w:spacing w:val="-1"/>
        <w:w w:val="99"/>
        <w:sz w:val="19"/>
        <w:szCs w:val="19"/>
      </w:rPr>
    </w:lvl>
    <w:lvl w:ilvl="3">
      <w:start w:val="0"/>
      <w:numFmt w:val="bullet"/>
      <w:lvlText w:val="•"/>
      <w:lvlJc w:val="left"/>
      <w:pPr>
        <w:ind w:left="3318" w:hanging="476"/>
      </w:pPr>
      <w:rPr>
        <w:rFonts w:hint="default"/>
      </w:rPr>
    </w:lvl>
    <w:lvl w:ilvl="4">
      <w:start w:val="0"/>
      <w:numFmt w:val="bullet"/>
      <w:lvlText w:val="•"/>
      <w:lvlJc w:val="left"/>
      <w:pPr>
        <w:ind w:left="4224" w:hanging="476"/>
      </w:pPr>
      <w:rPr>
        <w:rFonts w:hint="default"/>
      </w:rPr>
    </w:lvl>
    <w:lvl w:ilvl="5">
      <w:start w:val="0"/>
      <w:numFmt w:val="bullet"/>
      <w:lvlText w:val="•"/>
      <w:lvlJc w:val="left"/>
      <w:pPr>
        <w:ind w:left="5130" w:hanging="476"/>
      </w:pPr>
      <w:rPr>
        <w:rFonts w:hint="default"/>
      </w:rPr>
    </w:lvl>
    <w:lvl w:ilvl="6">
      <w:start w:val="0"/>
      <w:numFmt w:val="bullet"/>
      <w:lvlText w:val="•"/>
      <w:lvlJc w:val="left"/>
      <w:pPr>
        <w:ind w:left="6036" w:hanging="476"/>
      </w:pPr>
      <w:rPr>
        <w:rFonts w:hint="default"/>
      </w:rPr>
    </w:lvl>
    <w:lvl w:ilvl="7">
      <w:start w:val="0"/>
      <w:numFmt w:val="bullet"/>
      <w:lvlText w:val="•"/>
      <w:lvlJc w:val="left"/>
      <w:pPr>
        <w:ind w:left="6942" w:hanging="476"/>
      </w:pPr>
      <w:rPr>
        <w:rFonts w:hint="default"/>
      </w:rPr>
    </w:lvl>
    <w:lvl w:ilvl="8">
      <w:start w:val="0"/>
      <w:numFmt w:val="bullet"/>
      <w:lvlText w:val="•"/>
      <w:lvlJc w:val="left"/>
      <w:pPr>
        <w:ind w:left="7848" w:hanging="476"/>
      </w:pPr>
      <w:rPr>
        <w:rFonts w:hint="default"/>
      </w:rPr>
    </w:lvl>
  </w:abstractNum>
  <w:abstractNum w:abstractNumId="6">
    <w:multiLevelType w:val="hybridMultilevel"/>
    <w:lvl w:ilvl="0">
      <w:start w:val="1"/>
      <w:numFmt w:val="lowerLetter"/>
      <w:lvlText w:val="%1)"/>
      <w:lvlJc w:val="left"/>
      <w:pPr>
        <w:ind w:left="313" w:hanging="192"/>
        <w:jc w:val="left"/>
      </w:pPr>
      <w:rPr>
        <w:rFonts w:hint="default" w:ascii="Calibri" w:hAnsi="Calibri" w:eastAsia="Calibri" w:cs="Calibri"/>
        <w:w w:val="99"/>
        <w:sz w:val="19"/>
        <w:szCs w:val="19"/>
      </w:rPr>
    </w:lvl>
    <w:lvl w:ilvl="1">
      <w:start w:val="0"/>
      <w:numFmt w:val="bullet"/>
      <w:lvlText w:val="•"/>
      <w:lvlJc w:val="left"/>
      <w:pPr>
        <w:ind w:left="1254" w:hanging="192"/>
      </w:pPr>
      <w:rPr>
        <w:rFonts w:hint="default"/>
      </w:rPr>
    </w:lvl>
    <w:lvl w:ilvl="2">
      <w:start w:val="0"/>
      <w:numFmt w:val="bullet"/>
      <w:lvlText w:val="•"/>
      <w:lvlJc w:val="left"/>
      <w:pPr>
        <w:ind w:left="2188" w:hanging="192"/>
      </w:pPr>
      <w:rPr>
        <w:rFonts w:hint="default"/>
      </w:rPr>
    </w:lvl>
    <w:lvl w:ilvl="3">
      <w:start w:val="0"/>
      <w:numFmt w:val="bullet"/>
      <w:lvlText w:val="•"/>
      <w:lvlJc w:val="left"/>
      <w:pPr>
        <w:ind w:left="3122" w:hanging="192"/>
      </w:pPr>
      <w:rPr>
        <w:rFonts w:hint="default"/>
      </w:rPr>
    </w:lvl>
    <w:lvl w:ilvl="4">
      <w:start w:val="0"/>
      <w:numFmt w:val="bullet"/>
      <w:lvlText w:val="•"/>
      <w:lvlJc w:val="left"/>
      <w:pPr>
        <w:ind w:left="4056" w:hanging="192"/>
      </w:pPr>
      <w:rPr>
        <w:rFonts w:hint="default"/>
      </w:rPr>
    </w:lvl>
    <w:lvl w:ilvl="5">
      <w:start w:val="0"/>
      <w:numFmt w:val="bullet"/>
      <w:lvlText w:val="•"/>
      <w:lvlJc w:val="left"/>
      <w:pPr>
        <w:ind w:left="4990" w:hanging="192"/>
      </w:pPr>
      <w:rPr>
        <w:rFonts w:hint="default"/>
      </w:rPr>
    </w:lvl>
    <w:lvl w:ilvl="6">
      <w:start w:val="0"/>
      <w:numFmt w:val="bullet"/>
      <w:lvlText w:val="•"/>
      <w:lvlJc w:val="left"/>
      <w:pPr>
        <w:ind w:left="5924" w:hanging="192"/>
      </w:pPr>
      <w:rPr>
        <w:rFonts w:hint="default"/>
      </w:rPr>
    </w:lvl>
    <w:lvl w:ilvl="7">
      <w:start w:val="0"/>
      <w:numFmt w:val="bullet"/>
      <w:lvlText w:val="•"/>
      <w:lvlJc w:val="left"/>
      <w:pPr>
        <w:ind w:left="6858" w:hanging="192"/>
      </w:pPr>
      <w:rPr>
        <w:rFonts w:hint="default"/>
      </w:rPr>
    </w:lvl>
    <w:lvl w:ilvl="8">
      <w:start w:val="0"/>
      <w:numFmt w:val="bullet"/>
      <w:lvlText w:val="•"/>
      <w:lvlJc w:val="left"/>
      <w:pPr>
        <w:ind w:left="7792" w:hanging="192"/>
      </w:pPr>
      <w:rPr>
        <w:rFonts w:hint="default"/>
      </w:rPr>
    </w:lvl>
  </w:abstractNum>
  <w:abstractNum w:abstractNumId="5">
    <w:multiLevelType w:val="hybridMultilevel"/>
    <w:lvl w:ilvl="0">
      <w:start w:val="1"/>
      <w:numFmt w:val="lowerLetter"/>
      <w:lvlText w:val="%1."/>
      <w:lvlJc w:val="left"/>
      <w:pPr>
        <w:ind w:left="121" w:hanging="360"/>
        <w:jc w:val="left"/>
      </w:pPr>
      <w:rPr>
        <w:rFonts w:hint="default" w:ascii="Calibri" w:hAnsi="Calibri" w:eastAsia="Calibri" w:cs="Calibri"/>
        <w:w w:val="99"/>
        <w:sz w:val="19"/>
        <w:szCs w:val="19"/>
      </w:rPr>
    </w:lvl>
    <w:lvl w:ilvl="1">
      <w:start w:val="0"/>
      <w:numFmt w:val="bullet"/>
      <w:lvlText w:val="•"/>
      <w:lvlJc w:val="left"/>
      <w:pPr>
        <w:ind w:left="1074" w:hanging="360"/>
      </w:pPr>
      <w:rPr>
        <w:rFonts w:hint="default"/>
      </w:rPr>
    </w:lvl>
    <w:lvl w:ilvl="2">
      <w:start w:val="0"/>
      <w:numFmt w:val="bullet"/>
      <w:lvlText w:val="•"/>
      <w:lvlJc w:val="left"/>
      <w:pPr>
        <w:ind w:left="2028" w:hanging="360"/>
      </w:pPr>
      <w:rPr>
        <w:rFonts w:hint="default"/>
      </w:rPr>
    </w:lvl>
    <w:lvl w:ilvl="3">
      <w:start w:val="0"/>
      <w:numFmt w:val="bullet"/>
      <w:lvlText w:val="•"/>
      <w:lvlJc w:val="left"/>
      <w:pPr>
        <w:ind w:left="2982" w:hanging="360"/>
      </w:pPr>
      <w:rPr>
        <w:rFonts w:hint="default"/>
      </w:rPr>
    </w:lvl>
    <w:lvl w:ilvl="4">
      <w:start w:val="0"/>
      <w:numFmt w:val="bullet"/>
      <w:lvlText w:val="•"/>
      <w:lvlJc w:val="left"/>
      <w:pPr>
        <w:ind w:left="3936" w:hanging="360"/>
      </w:pPr>
      <w:rPr>
        <w:rFonts w:hint="default"/>
      </w:rPr>
    </w:lvl>
    <w:lvl w:ilvl="5">
      <w:start w:val="0"/>
      <w:numFmt w:val="bullet"/>
      <w:lvlText w:val="•"/>
      <w:lvlJc w:val="left"/>
      <w:pPr>
        <w:ind w:left="4890" w:hanging="360"/>
      </w:pPr>
      <w:rPr>
        <w:rFonts w:hint="default"/>
      </w:rPr>
    </w:lvl>
    <w:lvl w:ilvl="6">
      <w:start w:val="0"/>
      <w:numFmt w:val="bullet"/>
      <w:lvlText w:val="•"/>
      <w:lvlJc w:val="left"/>
      <w:pPr>
        <w:ind w:left="5844" w:hanging="360"/>
      </w:pPr>
      <w:rPr>
        <w:rFonts w:hint="default"/>
      </w:rPr>
    </w:lvl>
    <w:lvl w:ilvl="7">
      <w:start w:val="0"/>
      <w:numFmt w:val="bullet"/>
      <w:lvlText w:val="•"/>
      <w:lvlJc w:val="left"/>
      <w:pPr>
        <w:ind w:left="6798" w:hanging="360"/>
      </w:pPr>
      <w:rPr>
        <w:rFonts w:hint="default"/>
      </w:rPr>
    </w:lvl>
    <w:lvl w:ilvl="8">
      <w:start w:val="0"/>
      <w:numFmt w:val="bullet"/>
      <w:lvlText w:val="•"/>
      <w:lvlJc w:val="left"/>
      <w:pPr>
        <w:ind w:left="7752" w:hanging="360"/>
      </w:pPr>
      <w:rPr>
        <w:rFonts w:hint="default"/>
      </w:rPr>
    </w:lvl>
  </w:abstractNum>
  <w:abstractNum w:abstractNumId="4">
    <w:multiLevelType w:val="hybridMultilevel"/>
    <w:lvl w:ilvl="0">
      <w:start w:val="1"/>
      <w:numFmt w:val="lowerLetter"/>
      <w:lvlText w:val="%1."/>
      <w:lvlJc w:val="left"/>
      <w:pPr>
        <w:ind w:left="121" w:hanging="185"/>
        <w:jc w:val="left"/>
      </w:pPr>
      <w:rPr>
        <w:rFonts w:hint="default" w:ascii="Calibri" w:hAnsi="Calibri" w:eastAsia="Calibri" w:cs="Calibri"/>
        <w:w w:val="99"/>
        <w:sz w:val="19"/>
        <w:szCs w:val="19"/>
      </w:rPr>
    </w:lvl>
    <w:lvl w:ilvl="1">
      <w:start w:val="0"/>
      <w:numFmt w:val="bullet"/>
      <w:lvlText w:val="•"/>
      <w:lvlJc w:val="left"/>
      <w:pPr>
        <w:ind w:left="1074" w:hanging="185"/>
      </w:pPr>
      <w:rPr>
        <w:rFonts w:hint="default"/>
      </w:rPr>
    </w:lvl>
    <w:lvl w:ilvl="2">
      <w:start w:val="0"/>
      <w:numFmt w:val="bullet"/>
      <w:lvlText w:val="•"/>
      <w:lvlJc w:val="left"/>
      <w:pPr>
        <w:ind w:left="2028" w:hanging="185"/>
      </w:pPr>
      <w:rPr>
        <w:rFonts w:hint="default"/>
      </w:rPr>
    </w:lvl>
    <w:lvl w:ilvl="3">
      <w:start w:val="0"/>
      <w:numFmt w:val="bullet"/>
      <w:lvlText w:val="•"/>
      <w:lvlJc w:val="left"/>
      <w:pPr>
        <w:ind w:left="2982" w:hanging="185"/>
      </w:pPr>
      <w:rPr>
        <w:rFonts w:hint="default"/>
      </w:rPr>
    </w:lvl>
    <w:lvl w:ilvl="4">
      <w:start w:val="0"/>
      <w:numFmt w:val="bullet"/>
      <w:lvlText w:val="•"/>
      <w:lvlJc w:val="left"/>
      <w:pPr>
        <w:ind w:left="3936" w:hanging="185"/>
      </w:pPr>
      <w:rPr>
        <w:rFonts w:hint="default"/>
      </w:rPr>
    </w:lvl>
    <w:lvl w:ilvl="5">
      <w:start w:val="0"/>
      <w:numFmt w:val="bullet"/>
      <w:lvlText w:val="•"/>
      <w:lvlJc w:val="left"/>
      <w:pPr>
        <w:ind w:left="4890" w:hanging="185"/>
      </w:pPr>
      <w:rPr>
        <w:rFonts w:hint="default"/>
      </w:rPr>
    </w:lvl>
    <w:lvl w:ilvl="6">
      <w:start w:val="0"/>
      <w:numFmt w:val="bullet"/>
      <w:lvlText w:val="•"/>
      <w:lvlJc w:val="left"/>
      <w:pPr>
        <w:ind w:left="5844" w:hanging="185"/>
      </w:pPr>
      <w:rPr>
        <w:rFonts w:hint="default"/>
      </w:rPr>
    </w:lvl>
    <w:lvl w:ilvl="7">
      <w:start w:val="0"/>
      <w:numFmt w:val="bullet"/>
      <w:lvlText w:val="•"/>
      <w:lvlJc w:val="left"/>
      <w:pPr>
        <w:ind w:left="6798" w:hanging="185"/>
      </w:pPr>
      <w:rPr>
        <w:rFonts w:hint="default"/>
      </w:rPr>
    </w:lvl>
    <w:lvl w:ilvl="8">
      <w:start w:val="0"/>
      <w:numFmt w:val="bullet"/>
      <w:lvlText w:val="•"/>
      <w:lvlJc w:val="left"/>
      <w:pPr>
        <w:ind w:left="7752" w:hanging="185"/>
      </w:pPr>
      <w:rPr>
        <w:rFonts w:hint="default"/>
      </w:rPr>
    </w:lvl>
  </w:abstractNum>
  <w:abstractNum w:abstractNumId="3">
    <w:multiLevelType w:val="hybridMultilevel"/>
    <w:lvl w:ilvl="0">
      <w:start w:val="1"/>
      <w:numFmt w:val="decimal"/>
      <w:lvlText w:val="%1."/>
      <w:lvlJc w:val="left"/>
      <w:pPr>
        <w:ind w:left="352" w:hanging="231"/>
        <w:jc w:val="left"/>
      </w:pPr>
      <w:rPr>
        <w:rFonts w:hint="default"/>
        <w:b/>
        <w:bCs/>
        <w:w w:val="100"/>
      </w:rPr>
    </w:lvl>
    <w:lvl w:ilvl="1">
      <w:start w:val="0"/>
      <w:numFmt w:val="bullet"/>
      <w:lvlText w:val="•"/>
      <w:lvlJc w:val="left"/>
      <w:pPr>
        <w:ind w:left="1290" w:hanging="231"/>
      </w:pPr>
      <w:rPr>
        <w:rFonts w:hint="default"/>
      </w:rPr>
    </w:lvl>
    <w:lvl w:ilvl="2">
      <w:start w:val="0"/>
      <w:numFmt w:val="bullet"/>
      <w:lvlText w:val="•"/>
      <w:lvlJc w:val="left"/>
      <w:pPr>
        <w:ind w:left="2220" w:hanging="231"/>
      </w:pPr>
      <w:rPr>
        <w:rFonts w:hint="default"/>
      </w:rPr>
    </w:lvl>
    <w:lvl w:ilvl="3">
      <w:start w:val="0"/>
      <w:numFmt w:val="bullet"/>
      <w:lvlText w:val="•"/>
      <w:lvlJc w:val="left"/>
      <w:pPr>
        <w:ind w:left="3150" w:hanging="231"/>
      </w:pPr>
      <w:rPr>
        <w:rFonts w:hint="default"/>
      </w:rPr>
    </w:lvl>
    <w:lvl w:ilvl="4">
      <w:start w:val="0"/>
      <w:numFmt w:val="bullet"/>
      <w:lvlText w:val="•"/>
      <w:lvlJc w:val="left"/>
      <w:pPr>
        <w:ind w:left="4080" w:hanging="231"/>
      </w:pPr>
      <w:rPr>
        <w:rFonts w:hint="default"/>
      </w:rPr>
    </w:lvl>
    <w:lvl w:ilvl="5">
      <w:start w:val="0"/>
      <w:numFmt w:val="bullet"/>
      <w:lvlText w:val="•"/>
      <w:lvlJc w:val="left"/>
      <w:pPr>
        <w:ind w:left="5010" w:hanging="231"/>
      </w:pPr>
      <w:rPr>
        <w:rFonts w:hint="default"/>
      </w:rPr>
    </w:lvl>
    <w:lvl w:ilvl="6">
      <w:start w:val="0"/>
      <w:numFmt w:val="bullet"/>
      <w:lvlText w:val="•"/>
      <w:lvlJc w:val="left"/>
      <w:pPr>
        <w:ind w:left="5940" w:hanging="231"/>
      </w:pPr>
      <w:rPr>
        <w:rFonts w:hint="default"/>
      </w:rPr>
    </w:lvl>
    <w:lvl w:ilvl="7">
      <w:start w:val="0"/>
      <w:numFmt w:val="bullet"/>
      <w:lvlText w:val="•"/>
      <w:lvlJc w:val="left"/>
      <w:pPr>
        <w:ind w:left="6870" w:hanging="231"/>
      </w:pPr>
      <w:rPr>
        <w:rFonts w:hint="default"/>
      </w:rPr>
    </w:lvl>
    <w:lvl w:ilvl="8">
      <w:start w:val="0"/>
      <w:numFmt w:val="bullet"/>
      <w:lvlText w:val="•"/>
      <w:lvlJc w:val="left"/>
      <w:pPr>
        <w:ind w:left="7800" w:hanging="231"/>
      </w:pPr>
      <w:rPr>
        <w:rFonts w:hint="default"/>
      </w:rPr>
    </w:lvl>
  </w:abstractNum>
  <w:abstractNum w:abstractNumId="2">
    <w:multiLevelType w:val="hybridMultilevel"/>
    <w:lvl w:ilvl="0">
      <w:start w:val="3"/>
      <w:numFmt w:val="decimal"/>
      <w:lvlText w:val="%1."/>
      <w:lvlJc w:val="left"/>
      <w:pPr>
        <w:ind w:left="400" w:hanging="279"/>
        <w:jc w:val="left"/>
      </w:pPr>
      <w:rPr>
        <w:rFonts w:hint="default" w:ascii="Calibri" w:hAnsi="Calibri" w:eastAsia="Calibri" w:cs="Calibri"/>
        <w:b/>
        <w:bCs/>
        <w:spacing w:val="-1"/>
        <w:w w:val="100"/>
        <w:sz w:val="28"/>
        <w:szCs w:val="28"/>
      </w:rPr>
    </w:lvl>
    <w:lvl w:ilvl="1">
      <w:start w:val="0"/>
      <w:numFmt w:val="bullet"/>
      <w:lvlText w:val="•"/>
      <w:lvlJc w:val="left"/>
      <w:pPr>
        <w:ind w:left="1326" w:hanging="279"/>
      </w:pPr>
      <w:rPr>
        <w:rFonts w:hint="default"/>
      </w:rPr>
    </w:lvl>
    <w:lvl w:ilvl="2">
      <w:start w:val="0"/>
      <w:numFmt w:val="bullet"/>
      <w:lvlText w:val="•"/>
      <w:lvlJc w:val="left"/>
      <w:pPr>
        <w:ind w:left="2252" w:hanging="279"/>
      </w:pPr>
      <w:rPr>
        <w:rFonts w:hint="default"/>
      </w:rPr>
    </w:lvl>
    <w:lvl w:ilvl="3">
      <w:start w:val="0"/>
      <w:numFmt w:val="bullet"/>
      <w:lvlText w:val="•"/>
      <w:lvlJc w:val="left"/>
      <w:pPr>
        <w:ind w:left="3178" w:hanging="279"/>
      </w:pPr>
      <w:rPr>
        <w:rFonts w:hint="default"/>
      </w:rPr>
    </w:lvl>
    <w:lvl w:ilvl="4">
      <w:start w:val="0"/>
      <w:numFmt w:val="bullet"/>
      <w:lvlText w:val="•"/>
      <w:lvlJc w:val="left"/>
      <w:pPr>
        <w:ind w:left="4104" w:hanging="279"/>
      </w:pPr>
      <w:rPr>
        <w:rFonts w:hint="default"/>
      </w:rPr>
    </w:lvl>
    <w:lvl w:ilvl="5">
      <w:start w:val="0"/>
      <w:numFmt w:val="bullet"/>
      <w:lvlText w:val="•"/>
      <w:lvlJc w:val="left"/>
      <w:pPr>
        <w:ind w:left="5030" w:hanging="279"/>
      </w:pPr>
      <w:rPr>
        <w:rFonts w:hint="default"/>
      </w:rPr>
    </w:lvl>
    <w:lvl w:ilvl="6">
      <w:start w:val="0"/>
      <w:numFmt w:val="bullet"/>
      <w:lvlText w:val="•"/>
      <w:lvlJc w:val="left"/>
      <w:pPr>
        <w:ind w:left="5956" w:hanging="279"/>
      </w:pPr>
      <w:rPr>
        <w:rFonts w:hint="default"/>
      </w:rPr>
    </w:lvl>
    <w:lvl w:ilvl="7">
      <w:start w:val="0"/>
      <w:numFmt w:val="bullet"/>
      <w:lvlText w:val="•"/>
      <w:lvlJc w:val="left"/>
      <w:pPr>
        <w:ind w:left="6882" w:hanging="279"/>
      </w:pPr>
      <w:rPr>
        <w:rFonts w:hint="default"/>
      </w:rPr>
    </w:lvl>
    <w:lvl w:ilvl="8">
      <w:start w:val="0"/>
      <w:numFmt w:val="bullet"/>
      <w:lvlText w:val="•"/>
      <w:lvlJc w:val="left"/>
      <w:pPr>
        <w:ind w:left="7808" w:hanging="279"/>
      </w:pPr>
      <w:rPr>
        <w:rFonts w:hint="default"/>
      </w:rPr>
    </w:lvl>
  </w:abstractNum>
  <w:abstractNum w:abstractNumId="1">
    <w:multiLevelType w:val="hybridMultilevel"/>
    <w:lvl w:ilvl="0">
      <w:start w:val="1"/>
      <w:numFmt w:val="decimal"/>
      <w:lvlText w:val="%1."/>
      <w:lvlJc w:val="left"/>
      <w:pPr>
        <w:ind w:left="352" w:hanging="231"/>
        <w:jc w:val="left"/>
      </w:pPr>
      <w:rPr>
        <w:rFonts w:hint="default" w:ascii="Calibri" w:hAnsi="Calibri" w:eastAsia="Calibri" w:cs="Calibri"/>
        <w:b/>
        <w:bCs/>
        <w:w w:val="100"/>
        <w:sz w:val="23"/>
        <w:szCs w:val="23"/>
      </w:rPr>
    </w:lvl>
    <w:lvl w:ilvl="1">
      <w:start w:val="0"/>
      <w:numFmt w:val="bullet"/>
      <w:lvlText w:val="•"/>
      <w:lvlJc w:val="left"/>
      <w:pPr>
        <w:ind w:left="1290" w:hanging="231"/>
      </w:pPr>
      <w:rPr>
        <w:rFonts w:hint="default"/>
      </w:rPr>
    </w:lvl>
    <w:lvl w:ilvl="2">
      <w:start w:val="0"/>
      <w:numFmt w:val="bullet"/>
      <w:lvlText w:val="•"/>
      <w:lvlJc w:val="left"/>
      <w:pPr>
        <w:ind w:left="2220" w:hanging="231"/>
      </w:pPr>
      <w:rPr>
        <w:rFonts w:hint="default"/>
      </w:rPr>
    </w:lvl>
    <w:lvl w:ilvl="3">
      <w:start w:val="0"/>
      <w:numFmt w:val="bullet"/>
      <w:lvlText w:val="•"/>
      <w:lvlJc w:val="left"/>
      <w:pPr>
        <w:ind w:left="3150" w:hanging="231"/>
      </w:pPr>
      <w:rPr>
        <w:rFonts w:hint="default"/>
      </w:rPr>
    </w:lvl>
    <w:lvl w:ilvl="4">
      <w:start w:val="0"/>
      <w:numFmt w:val="bullet"/>
      <w:lvlText w:val="•"/>
      <w:lvlJc w:val="left"/>
      <w:pPr>
        <w:ind w:left="4080" w:hanging="231"/>
      </w:pPr>
      <w:rPr>
        <w:rFonts w:hint="default"/>
      </w:rPr>
    </w:lvl>
    <w:lvl w:ilvl="5">
      <w:start w:val="0"/>
      <w:numFmt w:val="bullet"/>
      <w:lvlText w:val="•"/>
      <w:lvlJc w:val="left"/>
      <w:pPr>
        <w:ind w:left="5010" w:hanging="231"/>
      </w:pPr>
      <w:rPr>
        <w:rFonts w:hint="default"/>
      </w:rPr>
    </w:lvl>
    <w:lvl w:ilvl="6">
      <w:start w:val="0"/>
      <w:numFmt w:val="bullet"/>
      <w:lvlText w:val="•"/>
      <w:lvlJc w:val="left"/>
      <w:pPr>
        <w:ind w:left="5940" w:hanging="231"/>
      </w:pPr>
      <w:rPr>
        <w:rFonts w:hint="default"/>
      </w:rPr>
    </w:lvl>
    <w:lvl w:ilvl="7">
      <w:start w:val="0"/>
      <w:numFmt w:val="bullet"/>
      <w:lvlText w:val="•"/>
      <w:lvlJc w:val="left"/>
      <w:pPr>
        <w:ind w:left="6870" w:hanging="231"/>
      </w:pPr>
      <w:rPr>
        <w:rFonts w:hint="default"/>
      </w:rPr>
    </w:lvl>
    <w:lvl w:ilvl="8">
      <w:start w:val="0"/>
      <w:numFmt w:val="bullet"/>
      <w:lvlText w:val="•"/>
      <w:lvlJc w:val="left"/>
      <w:pPr>
        <w:ind w:left="7800" w:hanging="231"/>
      </w:pPr>
      <w:rPr>
        <w:rFonts w:hint="default"/>
      </w:rPr>
    </w:lvl>
  </w:abstractNum>
  <w:abstractNum w:abstractNumId="0">
    <w:multiLevelType w:val="hybridMultilevel"/>
    <w:lvl w:ilvl="0">
      <w:start w:val="1"/>
      <w:numFmt w:val="decimal"/>
      <w:lvlText w:val="%1."/>
      <w:lvlJc w:val="left"/>
      <w:pPr>
        <w:ind w:left="400" w:hanging="279"/>
        <w:jc w:val="left"/>
      </w:pPr>
      <w:rPr>
        <w:rFonts w:hint="default" w:ascii="Calibri" w:hAnsi="Calibri" w:eastAsia="Calibri" w:cs="Calibri"/>
        <w:b/>
        <w:bCs/>
        <w:spacing w:val="-1"/>
        <w:w w:val="100"/>
        <w:sz w:val="28"/>
        <w:szCs w:val="28"/>
      </w:rPr>
    </w:lvl>
    <w:lvl w:ilvl="1">
      <w:start w:val="0"/>
      <w:numFmt w:val="bullet"/>
      <w:lvlText w:val="•"/>
      <w:lvlJc w:val="left"/>
      <w:pPr>
        <w:ind w:left="1326" w:hanging="279"/>
      </w:pPr>
      <w:rPr>
        <w:rFonts w:hint="default"/>
      </w:rPr>
    </w:lvl>
    <w:lvl w:ilvl="2">
      <w:start w:val="0"/>
      <w:numFmt w:val="bullet"/>
      <w:lvlText w:val="•"/>
      <w:lvlJc w:val="left"/>
      <w:pPr>
        <w:ind w:left="2252" w:hanging="279"/>
      </w:pPr>
      <w:rPr>
        <w:rFonts w:hint="default"/>
      </w:rPr>
    </w:lvl>
    <w:lvl w:ilvl="3">
      <w:start w:val="0"/>
      <w:numFmt w:val="bullet"/>
      <w:lvlText w:val="•"/>
      <w:lvlJc w:val="left"/>
      <w:pPr>
        <w:ind w:left="3178" w:hanging="279"/>
      </w:pPr>
      <w:rPr>
        <w:rFonts w:hint="default"/>
      </w:rPr>
    </w:lvl>
    <w:lvl w:ilvl="4">
      <w:start w:val="0"/>
      <w:numFmt w:val="bullet"/>
      <w:lvlText w:val="•"/>
      <w:lvlJc w:val="left"/>
      <w:pPr>
        <w:ind w:left="4104" w:hanging="279"/>
      </w:pPr>
      <w:rPr>
        <w:rFonts w:hint="default"/>
      </w:rPr>
    </w:lvl>
    <w:lvl w:ilvl="5">
      <w:start w:val="0"/>
      <w:numFmt w:val="bullet"/>
      <w:lvlText w:val="•"/>
      <w:lvlJc w:val="left"/>
      <w:pPr>
        <w:ind w:left="5030" w:hanging="279"/>
      </w:pPr>
      <w:rPr>
        <w:rFonts w:hint="default"/>
      </w:rPr>
    </w:lvl>
    <w:lvl w:ilvl="6">
      <w:start w:val="0"/>
      <w:numFmt w:val="bullet"/>
      <w:lvlText w:val="•"/>
      <w:lvlJc w:val="left"/>
      <w:pPr>
        <w:ind w:left="5956" w:hanging="279"/>
      </w:pPr>
      <w:rPr>
        <w:rFonts w:hint="default"/>
      </w:rPr>
    </w:lvl>
    <w:lvl w:ilvl="7">
      <w:start w:val="0"/>
      <w:numFmt w:val="bullet"/>
      <w:lvlText w:val="•"/>
      <w:lvlJc w:val="left"/>
      <w:pPr>
        <w:ind w:left="6882" w:hanging="279"/>
      </w:pPr>
      <w:rPr>
        <w:rFonts w:hint="default"/>
      </w:rPr>
    </w:lvl>
    <w:lvl w:ilvl="8">
      <w:start w:val="0"/>
      <w:numFmt w:val="bullet"/>
      <w:lvlText w:val="•"/>
      <w:lvlJc w:val="left"/>
      <w:pPr>
        <w:ind w:left="7808" w:hanging="279"/>
      </w:pPr>
      <w:rPr>
        <w:rFonts w:hint="default"/>
      </w:rPr>
    </w:lvl>
  </w:abstract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19"/>
      <w:szCs w:val="19"/>
    </w:rPr>
  </w:style>
  <w:style w:styleId="Heading1" w:type="paragraph">
    <w:name w:val="Heading 1"/>
    <w:basedOn w:val="Normal"/>
    <w:uiPriority w:val="1"/>
    <w:qFormat/>
    <w:pPr>
      <w:ind w:left="400" w:hanging="421"/>
      <w:outlineLvl w:val="1"/>
    </w:pPr>
    <w:rPr>
      <w:rFonts w:ascii="Calibri" w:hAnsi="Calibri" w:eastAsia="Calibri" w:cs="Calibri"/>
      <w:b/>
      <w:bCs/>
      <w:sz w:val="28"/>
      <w:szCs w:val="28"/>
    </w:rPr>
  </w:style>
  <w:style w:styleId="Heading2" w:type="paragraph">
    <w:name w:val="Heading 2"/>
    <w:basedOn w:val="Normal"/>
    <w:uiPriority w:val="1"/>
    <w:qFormat/>
    <w:pPr>
      <w:ind w:left="491" w:hanging="371"/>
      <w:outlineLvl w:val="2"/>
    </w:pPr>
    <w:rPr>
      <w:rFonts w:ascii="Calibri" w:hAnsi="Calibri" w:eastAsia="Calibri" w:cs="Calibri"/>
      <w:b/>
      <w:bCs/>
      <w:sz w:val="24"/>
      <w:szCs w:val="24"/>
    </w:rPr>
  </w:style>
  <w:style w:styleId="Heading3" w:type="paragraph">
    <w:name w:val="Heading 3"/>
    <w:basedOn w:val="Normal"/>
    <w:uiPriority w:val="1"/>
    <w:qFormat/>
    <w:pPr>
      <w:ind w:left="354" w:hanging="234"/>
      <w:outlineLvl w:val="3"/>
    </w:pPr>
    <w:rPr>
      <w:rFonts w:ascii="Calibri" w:hAnsi="Calibri" w:eastAsia="Calibri" w:cs="Calibri"/>
      <w:b/>
      <w:bCs/>
      <w:sz w:val="23"/>
      <w:szCs w:val="23"/>
    </w:rPr>
  </w:style>
  <w:style w:styleId="Heading4" w:type="paragraph">
    <w:name w:val="Heading 4"/>
    <w:basedOn w:val="Normal"/>
    <w:uiPriority w:val="1"/>
    <w:qFormat/>
    <w:pPr>
      <w:ind w:left="455" w:hanging="335"/>
      <w:outlineLvl w:val="4"/>
    </w:pPr>
    <w:rPr>
      <w:rFonts w:ascii="Calibri" w:hAnsi="Calibri" w:eastAsia="Calibri" w:cs="Calibri"/>
      <w:b/>
      <w:bCs/>
      <w:sz w:val="22"/>
      <w:szCs w:val="22"/>
    </w:rPr>
  </w:style>
  <w:style w:styleId="Heading5" w:type="paragraph">
    <w:name w:val="Heading 5"/>
    <w:basedOn w:val="Normal"/>
    <w:uiPriority w:val="1"/>
    <w:qFormat/>
    <w:pPr>
      <w:ind w:left="121"/>
      <w:outlineLvl w:val="5"/>
    </w:pPr>
    <w:rPr>
      <w:rFonts w:ascii="Calibri" w:hAnsi="Calibri" w:eastAsia="Calibri" w:cs="Calibri"/>
      <w:b/>
      <w:bCs/>
      <w:sz w:val="19"/>
      <w:szCs w:val="19"/>
    </w:rPr>
  </w:style>
  <w:style w:styleId="Heading6" w:type="paragraph">
    <w:name w:val="Heading 6"/>
    <w:basedOn w:val="Normal"/>
    <w:uiPriority w:val="1"/>
    <w:qFormat/>
    <w:pPr>
      <w:ind w:left="121"/>
      <w:outlineLvl w:val="6"/>
    </w:pPr>
    <w:rPr>
      <w:rFonts w:ascii="Calibri" w:hAnsi="Calibri" w:eastAsia="Calibri" w:cs="Calibri"/>
      <w:b/>
      <w:bCs/>
      <w:i/>
      <w:sz w:val="19"/>
      <w:szCs w:val="19"/>
    </w:rPr>
  </w:style>
  <w:style w:styleId="ListParagraph" w:type="paragraph">
    <w:name w:val="List Paragraph"/>
    <w:basedOn w:val="Normal"/>
    <w:uiPriority w:val="1"/>
    <w:qFormat/>
    <w:pPr>
      <w:ind w:left="121"/>
    </w:pPr>
    <w:rPr>
      <w:rFonts w:ascii="Calibri" w:hAnsi="Calibri" w:eastAsia="Calibri" w:cs="Calibri"/>
    </w:rPr>
  </w:style>
  <w:style w:styleId="TableParagraph" w:type="paragraph">
    <w:name w:val="Table Paragraph"/>
    <w:basedOn w:val="Normal"/>
    <w:uiPriority w:val="1"/>
    <w:qFormat/>
    <w:pPr>
      <w:spacing w:before="8"/>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42171447G</dc:creator>
  <dc:title>Microsoft Word - BORRADOR memoria funcanorte 2024.docx</dc:title>
  <dcterms:created xsi:type="dcterms:W3CDTF">2026-06-16T11:13:09Z</dcterms:created>
  <dcterms:modified xsi:type="dcterms:W3CDTF">2026-06-16T11:13:09Z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2025-07-02T00:00:00Z</vt:filetime>
  </property>
  <property fmtid="{D5CDD505-2E9C-101B-9397-08002B2CF9AE}" pid="3" name="Creator">
    <vt:lpwstr>PDF24 Creator</vt:lpwstr>
  </property>
  <property fmtid="{D5CDD505-2E9C-101B-9397-08002B2CF9AE}" pid="4" name="LastSaved">
    <vt:filetime>2026-06-16T00:00:00Z</vt:filetime>
  </property>
</Properties>
</file>