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5001B" w14:textId="2BA652F5" w:rsidR="00710F4A" w:rsidRPr="004D3047" w:rsidRDefault="00710F4A" w:rsidP="005E064C">
      <w:pPr>
        <w:spacing w:after="120"/>
        <w:jc w:val="both"/>
        <w:rPr>
          <w:rFonts w:asciiTheme="minorHAnsi" w:hAnsiTheme="minorHAnsi" w:cstheme="minorHAnsi"/>
          <w:b/>
          <w:sz w:val="28"/>
          <w:szCs w:val="28"/>
        </w:rPr>
      </w:pPr>
      <w:r w:rsidRPr="004D3047">
        <w:rPr>
          <w:rFonts w:asciiTheme="minorHAnsi" w:hAnsiTheme="minorHAnsi" w:cstheme="minorHAnsi"/>
          <w:b/>
          <w:sz w:val="28"/>
          <w:szCs w:val="28"/>
        </w:rPr>
        <w:t>1001. Información general de la entidad: institucional, histórica, económica, etc.:</w:t>
      </w:r>
    </w:p>
    <w:p w14:paraId="1C27BC5D" w14:textId="77777777" w:rsidR="005E064C" w:rsidRPr="005E064C" w:rsidRDefault="005E064C" w:rsidP="005E064C">
      <w:pPr>
        <w:spacing w:after="120"/>
        <w:jc w:val="both"/>
        <w:rPr>
          <w:rFonts w:asciiTheme="minorHAnsi" w:hAnsiTheme="minorHAnsi" w:cstheme="minorHAnsi"/>
          <w:bCs/>
          <w:sz w:val="28"/>
          <w:szCs w:val="28"/>
        </w:rPr>
      </w:pPr>
    </w:p>
    <w:p w14:paraId="3B71EBE4" w14:textId="77777777" w:rsidR="005E064C" w:rsidRPr="005E064C" w:rsidRDefault="005E064C" w:rsidP="005E064C">
      <w:pPr>
        <w:spacing w:after="120"/>
        <w:jc w:val="both"/>
        <w:rPr>
          <w:rFonts w:asciiTheme="minorHAnsi" w:hAnsiTheme="minorHAnsi" w:cstheme="minorHAnsi"/>
          <w:b/>
          <w:sz w:val="28"/>
          <w:szCs w:val="28"/>
        </w:rPr>
      </w:pPr>
      <w:r w:rsidRPr="005E064C">
        <w:rPr>
          <w:rFonts w:asciiTheme="minorHAnsi" w:hAnsiTheme="minorHAnsi" w:cstheme="minorHAnsi"/>
          <w:b/>
          <w:sz w:val="28"/>
          <w:szCs w:val="28"/>
        </w:rPr>
        <w:t>INFORMACIÓN INSTITUCIONAL</w:t>
      </w:r>
    </w:p>
    <w:p w14:paraId="0F8A4267" w14:textId="77777777" w:rsidR="005E064C" w:rsidRPr="005E064C" w:rsidRDefault="005E064C" w:rsidP="005E064C">
      <w:pPr>
        <w:spacing w:after="120"/>
        <w:jc w:val="both"/>
        <w:rPr>
          <w:rFonts w:asciiTheme="minorHAnsi" w:hAnsiTheme="minorHAnsi" w:cstheme="minorHAnsi"/>
          <w:bCs/>
          <w:sz w:val="28"/>
          <w:szCs w:val="28"/>
        </w:rPr>
      </w:pPr>
      <w:r w:rsidRPr="005E064C">
        <w:rPr>
          <w:rFonts w:asciiTheme="minorHAnsi" w:hAnsiTheme="minorHAnsi" w:cstheme="minorHAnsi"/>
          <w:bCs/>
          <w:sz w:val="28"/>
          <w:szCs w:val="28"/>
        </w:rPr>
        <w:t>Con la denominación de Empresa Pública de Aguas del Ayuntamiento de Los Realejos, S.L. (AQUARE), se constituye una sociedad mercantil de responsabilidad limitada de capital íntegramente municipal, siendo el Ayuntamiento de Los Realejos titular de la totalidad de las participaciones sociales de la entidad.</w:t>
      </w:r>
    </w:p>
    <w:p w14:paraId="2736BDCB" w14:textId="77777777" w:rsidR="005E064C" w:rsidRPr="005E064C" w:rsidRDefault="005E064C" w:rsidP="005E064C">
      <w:pPr>
        <w:spacing w:after="120"/>
        <w:jc w:val="both"/>
        <w:rPr>
          <w:rFonts w:asciiTheme="minorHAnsi" w:hAnsiTheme="minorHAnsi" w:cstheme="minorHAnsi"/>
          <w:bCs/>
          <w:sz w:val="28"/>
          <w:szCs w:val="28"/>
        </w:rPr>
      </w:pPr>
      <w:r w:rsidRPr="005E064C">
        <w:rPr>
          <w:rFonts w:asciiTheme="minorHAnsi" w:hAnsiTheme="minorHAnsi" w:cstheme="minorHAnsi"/>
          <w:bCs/>
          <w:sz w:val="28"/>
          <w:szCs w:val="28"/>
        </w:rPr>
        <w:t>A todos los efectos legales, AQUARE tiene la consideración de medio propio del Ayuntamiento de Los Realejos.</w:t>
      </w:r>
    </w:p>
    <w:p w14:paraId="7A1BE73D" w14:textId="77777777" w:rsidR="005E064C" w:rsidRPr="005E064C" w:rsidRDefault="005E064C" w:rsidP="005E064C">
      <w:pPr>
        <w:spacing w:after="120"/>
        <w:jc w:val="both"/>
        <w:rPr>
          <w:rFonts w:asciiTheme="minorHAnsi" w:hAnsiTheme="minorHAnsi" w:cstheme="minorHAnsi"/>
          <w:bCs/>
          <w:sz w:val="28"/>
          <w:szCs w:val="28"/>
        </w:rPr>
      </w:pPr>
    </w:p>
    <w:p w14:paraId="1B830ED7" w14:textId="77777777" w:rsidR="005E064C" w:rsidRPr="005E064C" w:rsidRDefault="005E064C" w:rsidP="005E064C">
      <w:pPr>
        <w:spacing w:after="120"/>
        <w:jc w:val="both"/>
        <w:rPr>
          <w:rFonts w:asciiTheme="minorHAnsi" w:hAnsiTheme="minorHAnsi" w:cstheme="minorHAnsi"/>
          <w:b/>
          <w:sz w:val="28"/>
          <w:szCs w:val="28"/>
        </w:rPr>
      </w:pPr>
      <w:r w:rsidRPr="005E064C">
        <w:rPr>
          <w:rFonts w:asciiTheme="minorHAnsi" w:hAnsiTheme="minorHAnsi" w:cstheme="minorHAnsi"/>
          <w:b/>
          <w:sz w:val="28"/>
          <w:szCs w:val="28"/>
        </w:rPr>
        <w:t>INFORMACIÓN HISTÓRICA</w:t>
      </w:r>
    </w:p>
    <w:p w14:paraId="758960A8" w14:textId="77777777" w:rsidR="005E064C" w:rsidRPr="005E064C" w:rsidRDefault="005E064C" w:rsidP="005E064C">
      <w:pPr>
        <w:spacing w:after="120"/>
        <w:jc w:val="both"/>
        <w:rPr>
          <w:rFonts w:asciiTheme="minorHAnsi" w:hAnsiTheme="minorHAnsi" w:cstheme="minorHAnsi"/>
          <w:bCs/>
          <w:sz w:val="28"/>
          <w:szCs w:val="28"/>
        </w:rPr>
      </w:pPr>
      <w:r w:rsidRPr="005E064C">
        <w:rPr>
          <w:rFonts w:asciiTheme="minorHAnsi" w:hAnsiTheme="minorHAnsi" w:cstheme="minorHAnsi"/>
          <w:bCs/>
          <w:sz w:val="28"/>
          <w:szCs w:val="28"/>
        </w:rPr>
        <w:t>Por acuerdo plenario adoptado en sesión ordinaria celebrada el día 23 de enero de 2004 se aprobaron definitivamente sus Estatutos, formalizándose su constitución en escritura pública de fecha 22 de marzo de 2004 e inscribiéndose en el Registro Mercantil de Santa Cruz de Tenerife el día 5 de abril de 2004.</w:t>
      </w:r>
    </w:p>
    <w:p w14:paraId="324DFF00" w14:textId="77777777" w:rsidR="005E064C" w:rsidRPr="005E064C" w:rsidRDefault="005E064C" w:rsidP="005E064C">
      <w:pPr>
        <w:spacing w:after="120"/>
        <w:jc w:val="both"/>
        <w:rPr>
          <w:rFonts w:asciiTheme="minorHAnsi" w:hAnsiTheme="minorHAnsi" w:cstheme="minorHAnsi"/>
          <w:bCs/>
          <w:sz w:val="28"/>
          <w:szCs w:val="28"/>
        </w:rPr>
      </w:pPr>
    </w:p>
    <w:p w14:paraId="753C611D" w14:textId="77777777" w:rsidR="005E064C" w:rsidRPr="005E064C" w:rsidRDefault="005E064C" w:rsidP="005E064C">
      <w:pPr>
        <w:spacing w:after="120"/>
        <w:jc w:val="both"/>
        <w:rPr>
          <w:rFonts w:asciiTheme="minorHAnsi" w:hAnsiTheme="minorHAnsi" w:cstheme="minorHAnsi"/>
          <w:b/>
          <w:sz w:val="28"/>
          <w:szCs w:val="28"/>
        </w:rPr>
      </w:pPr>
      <w:r w:rsidRPr="005E064C">
        <w:rPr>
          <w:rFonts w:asciiTheme="minorHAnsi" w:hAnsiTheme="minorHAnsi" w:cstheme="minorHAnsi"/>
          <w:b/>
          <w:sz w:val="28"/>
          <w:szCs w:val="28"/>
        </w:rPr>
        <w:t>INFORMACIÓN SOBRE EL OBJETO SOCIAL</w:t>
      </w:r>
    </w:p>
    <w:p w14:paraId="00214124" w14:textId="77777777" w:rsidR="005E064C" w:rsidRPr="005E064C" w:rsidRDefault="005E064C" w:rsidP="005E064C">
      <w:pPr>
        <w:spacing w:after="120"/>
        <w:jc w:val="both"/>
        <w:rPr>
          <w:rFonts w:asciiTheme="minorHAnsi" w:hAnsiTheme="minorHAnsi" w:cstheme="minorHAnsi"/>
          <w:bCs/>
          <w:sz w:val="28"/>
          <w:szCs w:val="28"/>
        </w:rPr>
      </w:pPr>
      <w:r w:rsidRPr="005E064C">
        <w:rPr>
          <w:rFonts w:asciiTheme="minorHAnsi" w:hAnsiTheme="minorHAnsi" w:cstheme="minorHAnsi"/>
          <w:bCs/>
          <w:sz w:val="28"/>
          <w:szCs w:val="28"/>
        </w:rPr>
        <w:t>El objeto social de la entidad está constituido por la prestación de los siguientes servicios públicos locales:</w:t>
      </w:r>
    </w:p>
    <w:p w14:paraId="46D974B3" w14:textId="62F18582" w:rsidR="005E064C" w:rsidRPr="005E064C" w:rsidRDefault="005E064C" w:rsidP="005E064C">
      <w:pPr>
        <w:pStyle w:val="Prrafodelista"/>
        <w:numPr>
          <w:ilvl w:val="0"/>
          <w:numId w:val="7"/>
        </w:numPr>
        <w:spacing w:after="120"/>
        <w:jc w:val="both"/>
        <w:rPr>
          <w:rFonts w:asciiTheme="minorHAnsi" w:hAnsiTheme="minorHAnsi" w:cstheme="minorHAnsi"/>
          <w:bCs/>
          <w:sz w:val="28"/>
          <w:szCs w:val="28"/>
        </w:rPr>
      </w:pPr>
      <w:r w:rsidRPr="005E064C">
        <w:rPr>
          <w:rFonts w:asciiTheme="minorHAnsi" w:hAnsiTheme="minorHAnsi" w:cstheme="minorHAnsi"/>
          <w:bCs/>
          <w:sz w:val="28"/>
          <w:szCs w:val="28"/>
        </w:rPr>
        <w:t>Suministro de agua.</w:t>
      </w:r>
    </w:p>
    <w:p w14:paraId="1F5EC709" w14:textId="29B5B1D6" w:rsidR="005E064C" w:rsidRPr="005E064C" w:rsidRDefault="005E064C" w:rsidP="005E064C">
      <w:pPr>
        <w:pStyle w:val="Prrafodelista"/>
        <w:numPr>
          <w:ilvl w:val="0"/>
          <w:numId w:val="7"/>
        </w:numPr>
        <w:spacing w:after="120"/>
        <w:jc w:val="both"/>
        <w:rPr>
          <w:rFonts w:asciiTheme="minorHAnsi" w:hAnsiTheme="minorHAnsi" w:cstheme="minorHAnsi"/>
          <w:bCs/>
          <w:sz w:val="28"/>
          <w:szCs w:val="28"/>
        </w:rPr>
      </w:pPr>
      <w:r w:rsidRPr="005E064C">
        <w:rPr>
          <w:rFonts w:asciiTheme="minorHAnsi" w:hAnsiTheme="minorHAnsi" w:cstheme="minorHAnsi"/>
          <w:bCs/>
          <w:sz w:val="28"/>
          <w:szCs w:val="28"/>
        </w:rPr>
        <w:t>Alcantarillado.</w:t>
      </w:r>
    </w:p>
    <w:p w14:paraId="12065F51" w14:textId="2998235C" w:rsidR="005E064C" w:rsidRPr="005E064C" w:rsidRDefault="005E064C" w:rsidP="005E064C">
      <w:pPr>
        <w:pStyle w:val="Prrafodelista"/>
        <w:numPr>
          <w:ilvl w:val="0"/>
          <w:numId w:val="7"/>
        </w:numPr>
        <w:spacing w:after="120"/>
        <w:jc w:val="both"/>
        <w:rPr>
          <w:rFonts w:asciiTheme="minorHAnsi" w:hAnsiTheme="minorHAnsi" w:cstheme="minorHAnsi"/>
          <w:bCs/>
          <w:sz w:val="28"/>
          <w:szCs w:val="28"/>
        </w:rPr>
      </w:pPr>
      <w:r w:rsidRPr="005E064C">
        <w:rPr>
          <w:rFonts w:asciiTheme="minorHAnsi" w:hAnsiTheme="minorHAnsi" w:cstheme="minorHAnsi"/>
          <w:bCs/>
          <w:sz w:val="28"/>
          <w:szCs w:val="28"/>
        </w:rPr>
        <w:t>Y, en general, todos aquellos servicios de competencia municipal integrados en el ciclo integral del agua, en los términos establecidos por la legislación estatal y autonómica aplicable.</w:t>
      </w:r>
    </w:p>
    <w:p w14:paraId="19835F00" w14:textId="77777777" w:rsidR="005E064C" w:rsidRPr="005E064C" w:rsidRDefault="005E064C" w:rsidP="005E064C">
      <w:pPr>
        <w:spacing w:after="120"/>
        <w:jc w:val="both"/>
        <w:rPr>
          <w:rFonts w:asciiTheme="minorHAnsi" w:hAnsiTheme="minorHAnsi" w:cstheme="minorHAnsi"/>
          <w:bCs/>
          <w:sz w:val="28"/>
          <w:szCs w:val="28"/>
        </w:rPr>
      </w:pPr>
    </w:p>
    <w:p w14:paraId="5FE03BCB" w14:textId="77777777" w:rsidR="005E064C" w:rsidRPr="005E064C" w:rsidRDefault="005E064C" w:rsidP="005E064C">
      <w:pPr>
        <w:spacing w:after="120"/>
        <w:jc w:val="both"/>
        <w:rPr>
          <w:rFonts w:asciiTheme="minorHAnsi" w:hAnsiTheme="minorHAnsi" w:cstheme="minorHAnsi"/>
          <w:b/>
          <w:sz w:val="28"/>
          <w:szCs w:val="28"/>
        </w:rPr>
      </w:pPr>
      <w:r w:rsidRPr="005E064C">
        <w:rPr>
          <w:rFonts w:asciiTheme="minorHAnsi" w:hAnsiTheme="minorHAnsi" w:cstheme="minorHAnsi"/>
          <w:b/>
          <w:sz w:val="28"/>
          <w:szCs w:val="28"/>
        </w:rPr>
        <w:t>INFORMACIÓN ECONÓMICA</w:t>
      </w:r>
    </w:p>
    <w:p w14:paraId="41A4C2E6" w14:textId="77777777" w:rsidR="005E064C" w:rsidRPr="005E064C" w:rsidRDefault="005E064C" w:rsidP="005E064C">
      <w:pPr>
        <w:spacing w:after="120"/>
        <w:jc w:val="both"/>
        <w:rPr>
          <w:rFonts w:asciiTheme="minorHAnsi" w:hAnsiTheme="minorHAnsi" w:cstheme="minorHAnsi"/>
          <w:bCs/>
          <w:sz w:val="28"/>
          <w:szCs w:val="28"/>
        </w:rPr>
      </w:pPr>
      <w:r w:rsidRPr="005E064C">
        <w:rPr>
          <w:rFonts w:asciiTheme="minorHAnsi" w:hAnsiTheme="minorHAnsi" w:cstheme="minorHAnsi"/>
          <w:bCs/>
          <w:sz w:val="28"/>
          <w:szCs w:val="28"/>
        </w:rPr>
        <w:t>AQUARE es una sociedad mercantil de capital íntegramente público, siendo el Ayuntamiento de Los Realejos titular del 100% de las participaciones sociales.</w:t>
      </w:r>
    </w:p>
    <w:p w14:paraId="6F27997F" w14:textId="77777777" w:rsidR="005E064C" w:rsidRPr="005E064C" w:rsidRDefault="005E064C" w:rsidP="005E064C">
      <w:pPr>
        <w:spacing w:after="120"/>
        <w:jc w:val="both"/>
        <w:rPr>
          <w:rFonts w:asciiTheme="minorHAnsi" w:hAnsiTheme="minorHAnsi" w:cstheme="minorHAnsi"/>
          <w:bCs/>
          <w:sz w:val="28"/>
          <w:szCs w:val="28"/>
        </w:rPr>
      </w:pPr>
      <w:r w:rsidRPr="005E064C">
        <w:rPr>
          <w:rFonts w:asciiTheme="minorHAnsi" w:hAnsiTheme="minorHAnsi" w:cstheme="minorHAnsi"/>
          <w:bCs/>
          <w:sz w:val="28"/>
          <w:szCs w:val="28"/>
        </w:rPr>
        <w:t xml:space="preserve">El capital social de la entidad asciende a </w:t>
      </w:r>
      <w:r w:rsidRPr="005E064C">
        <w:rPr>
          <w:rFonts w:asciiTheme="minorHAnsi" w:hAnsiTheme="minorHAnsi" w:cstheme="minorHAnsi"/>
          <w:b/>
          <w:sz w:val="28"/>
          <w:szCs w:val="28"/>
        </w:rPr>
        <w:t>TRES MIL TREINTA EUROS</w:t>
      </w:r>
      <w:r w:rsidRPr="005E064C">
        <w:rPr>
          <w:rFonts w:asciiTheme="minorHAnsi" w:hAnsiTheme="minorHAnsi" w:cstheme="minorHAnsi"/>
          <w:bCs/>
          <w:sz w:val="28"/>
          <w:szCs w:val="28"/>
        </w:rPr>
        <w:t xml:space="preserve"> (3.030,00 €), dividido en treinta participaciones sociales de ciento un euros </w:t>
      </w:r>
      <w:r w:rsidRPr="005E064C">
        <w:rPr>
          <w:rFonts w:asciiTheme="minorHAnsi" w:hAnsiTheme="minorHAnsi" w:cstheme="minorHAnsi"/>
          <w:bCs/>
          <w:sz w:val="28"/>
          <w:szCs w:val="28"/>
        </w:rPr>
        <w:lastRenderedPageBreak/>
        <w:t>(101,00 €) de valor nominal cada una, totalmente suscritas y desembolsadas por el Ayuntamiento de Los Realejos.</w:t>
      </w:r>
    </w:p>
    <w:p w14:paraId="5D1EC533" w14:textId="77777777" w:rsidR="005E064C" w:rsidRPr="005E064C" w:rsidRDefault="005E064C" w:rsidP="005E064C">
      <w:pPr>
        <w:spacing w:after="120"/>
        <w:jc w:val="both"/>
        <w:rPr>
          <w:rFonts w:asciiTheme="minorHAnsi" w:hAnsiTheme="minorHAnsi" w:cstheme="minorHAnsi"/>
          <w:bCs/>
          <w:sz w:val="28"/>
          <w:szCs w:val="28"/>
        </w:rPr>
      </w:pPr>
      <w:r w:rsidRPr="005E064C">
        <w:rPr>
          <w:rFonts w:asciiTheme="minorHAnsi" w:hAnsiTheme="minorHAnsi" w:cstheme="minorHAnsi"/>
          <w:bCs/>
          <w:sz w:val="28"/>
          <w:szCs w:val="28"/>
        </w:rPr>
        <w:t>La actividad económica de la empresa se financia principalmente mediante los ingresos obtenidos por la prestación de los servicios públicos vinculados al ciclo integral del agua, así como por aquellos otros ingresos legalmente previstos para el desarrollo de su objeto social.</w:t>
      </w:r>
    </w:p>
    <w:p w14:paraId="4E781CB0" w14:textId="77777777" w:rsidR="005E064C" w:rsidRPr="005E064C" w:rsidRDefault="005E064C" w:rsidP="005E064C">
      <w:pPr>
        <w:spacing w:after="120"/>
        <w:jc w:val="both"/>
        <w:rPr>
          <w:rFonts w:asciiTheme="minorHAnsi" w:hAnsiTheme="minorHAnsi" w:cstheme="minorHAnsi"/>
          <w:bCs/>
          <w:sz w:val="28"/>
          <w:szCs w:val="28"/>
        </w:rPr>
      </w:pPr>
      <w:r w:rsidRPr="005E064C">
        <w:rPr>
          <w:rFonts w:asciiTheme="minorHAnsi" w:hAnsiTheme="minorHAnsi" w:cstheme="minorHAnsi"/>
          <w:bCs/>
          <w:sz w:val="28"/>
          <w:szCs w:val="28"/>
        </w:rPr>
        <w:t>La sociedad elabora anualmente sus previsiones de ingresos y gastos, así como sus programas de actuación, inversión y financiación, integrándose esta información en el marco presupuestario municipal.</w:t>
      </w:r>
    </w:p>
    <w:p w14:paraId="6D4EE3F3" w14:textId="779E0324" w:rsidR="00B21D84" w:rsidRPr="005E064C" w:rsidRDefault="005E064C" w:rsidP="005E064C">
      <w:pPr>
        <w:spacing w:after="120"/>
        <w:jc w:val="both"/>
        <w:rPr>
          <w:rFonts w:asciiTheme="minorHAnsi" w:hAnsiTheme="minorHAnsi" w:cstheme="minorHAnsi"/>
          <w:bCs/>
          <w:sz w:val="28"/>
          <w:szCs w:val="28"/>
        </w:rPr>
      </w:pPr>
      <w:r w:rsidRPr="005E064C">
        <w:rPr>
          <w:rFonts w:asciiTheme="minorHAnsi" w:hAnsiTheme="minorHAnsi" w:cstheme="minorHAnsi"/>
          <w:bCs/>
          <w:sz w:val="28"/>
          <w:szCs w:val="28"/>
        </w:rPr>
        <w:t>Asimismo, la entidad está sometida al régimen de contabilidad pública, al control interno de la Intervención Municipal y a los mecanismos de fiscalización y rendición de cuentas previstos en la normativa vigente.</w:t>
      </w:r>
    </w:p>
    <w:sectPr w:rsidR="00B21D84" w:rsidRPr="005E064C" w:rsidSect="00CB3B30">
      <w:headerReference w:type="default" r:id="rId7"/>
      <w:pgSz w:w="11906" w:h="16838"/>
      <w:pgMar w:top="993"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08A1B0" w14:textId="77777777" w:rsidR="00A01E26" w:rsidRDefault="00A01E26" w:rsidP="000E3989">
      <w:r>
        <w:separator/>
      </w:r>
    </w:p>
  </w:endnote>
  <w:endnote w:type="continuationSeparator" w:id="0">
    <w:p w14:paraId="0030913B" w14:textId="77777777" w:rsidR="00A01E26" w:rsidRDefault="00A01E26" w:rsidP="000E3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EDE8D" w14:textId="77777777" w:rsidR="00A01E26" w:rsidRDefault="00A01E26" w:rsidP="000E3989">
      <w:r>
        <w:separator/>
      </w:r>
    </w:p>
  </w:footnote>
  <w:footnote w:type="continuationSeparator" w:id="0">
    <w:p w14:paraId="5B510866" w14:textId="77777777" w:rsidR="00A01E26" w:rsidRDefault="00A01E26" w:rsidP="000E39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15CAF" w14:textId="77777777" w:rsidR="000E3989" w:rsidRDefault="00ED5551">
    <w:pPr>
      <w:pStyle w:val="Encabezado"/>
    </w:pPr>
    <w:r>
      <w:rPr>
        <w:noProof/>
        <w:lang w:eastAsia="es-ES"/>
      </w:rPr>
      <w:drawing>
        <wp:anchor distT="0" distB="0" distL="114300" distR="114300" simplePos="0" relativeHeight="251659264" behindDoc="0" locked="0" layoutInCell="1" allowOverlap="1" wp14:anchorId="636D95AE" wp14:editId="3D7AB196">
          <wp:simplePos x="0" y="0"/>
          <wp:positionH relativeFrom="column">
            <wp:posOffset>-60960</wp:posOffset>
          </wp:positionH>
          <wp:positionV relativeFrom="paragraph">
            <wp:posOffset>-449580</wp:posOffset>
          </wp:positionV>
          <wp:extent cx="1973580" cy="771525"/>
          <wp:effectExtent l="0" t="0" r="7620" b="9525"/>
          <wp:wrapTopAndBottom/>
          <wp:docPr id="2" name="Imagen 2" descr="Aquare – Excmo. Ayuntamiento de Los Realej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quare – Excmo. Ayuntamiento de Los Realejos"/>
                  <pic:cNvPicPr>
                    <a:picLocks noChangeAspect="1" noChangeArrowheads="1"/>
                  </pic:cNvPicPr>
                </pic:nvPicPr>
                <pic:blipFill rotWithShape="1">
                  <a:blip r:embed="rId1">
                    <a:extLst>
                      <a:ext uri="{28A0092B-C50C-407E-A947-70E740481C1C}">
                        <a14:useLocalDpi xmlns:a14="http://schemas.microsoft.com/office/drawing/2010/main" val="0"/>
                      </a:ext>
                    </a:extLst>
                  </a:blip>
                  <a:srcRect l="1" t="28571" r="-1533" b="28487"/>
                  <a:stretch>
                    <a:fillRect/>
                  </a:stretch>
                </pic:blipFill>
                <pic:spPr bwMode="auto">
                  <a:xfrm>
                    <a:off x="0" y="0"/>
                    <a:ext cx="1973580" cy="7715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432" w:hanging="432"/>
      </w:pPr>
      <w:rPr>
        <w:rFonts w:ascii="Times New Roman" w:hAnsi="Times New Roman" w:cs="Times New Roman"/>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27A21D96"/>
    <w:multiLevelType w:val="hybridMultilevel"/>
    <w:tmpl w:val="553092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FFF4F96"/>
    <w:multiLevelType w:val="multilevel"/>
    <w:tmpl w:val="096013EA"/>
    <w:lvl w:ilvl="0">
      <w:start w:val="1"/>
      <w:numFmt w:val="decimal"/>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52210312"/>
    <w:multiLevelType w:val="hybridMultilevel"/>
    <w:tmpl w:val="D7BCDC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52F37F83"/>
    <w:multiLevelType w:val="hybridMultilevel"/>
    <w:tmpl w:val="2B0E2A80"/>
    <w:lvl w:ilvl="0" w:tplc="4D3A0FBC">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57FA4EFF"/>
    <w:multiLevelType w:val="hybridMultilevel"/>
    <w:tmpl w:val="EB18BED4"/>
    <w:lvl w:ilvl="0" w:tplc="4D3A0FBC">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7FBC166B"/>
    <w:multiLevelType w:val="hybridMultilevel"/>
    <w:tmpl w:val="8DA45A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2011373791">
    <w:abstractNumId w:val="0"/>
  </w:num>
  <w:num w:numId="2" w16cid:durableId="624389078">
    <w:abstractNumId w:val="2"/>
  </w:num>
  <w:num w:numId="3" w16cid:durableId="63993268">
    <w:abstractNumId w:val="1"/>
  </w:num>
  <w:num w:numId="4" w16cid:durableId="466432579">
    <w:abstractNumId w:val="3"/>
  </w:num>
  <w:num w:numId="5" w16cid:durableId="2080520148">
    <w:abstractNumId w:val="6"/>
  </w:num>
  <w:num w:numId="6" w16cid:durableId="1110971353">
    <w:abstractNumId w:val="5"/>
  </w:num>
  <w:num w:numId="7" w16cid:durableId="15532284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F55"/>
    <w:rsid w:val="000E3989"/>
    <w:rsid w:val="00226146"/>
    <w:rsid w:val="004D3047"/>
    <w:rsid w:val="00506284"/>
    <w:rsid w:val="005916D1"/>
    <w:rsid w:val="005E064C"/>
    <w:rsid w:val="006F0429"/>
    <w:rsid w:val="00710F4A"/>
    <w:rsid w:val="009A1D50"/>
    <w:rsid w:val="00A01E26"/>
    <w:rsid w:val="00B21D84"/>
    <w:rsid w:val="00CB3B30"/>
    <w:rsid w:val="00D96F87"/>
    <w:rsid w:val="00E66817"/>
    <w:rsid w:val="00E96D1C"/>
    <w:rsid w:val="00ED5551"/>
    <w:rsid w:val="00FB3F5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7EE017"/>
  <w15:chartTrackingRefBased/>
  <w15:docId w15:val="{74A4AA33-839D-4C6A-8F39-9A84873BE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F55"/>
    <w:pPr>
      <w:suppressAutoHyphens/>
      <w:spacing w:after="0" w:line="240" w:lineRule="auto"/>
    </w:pPr>
    <w:rPr>
      <w:rFonts w:ascii="Times New Roman" w:eastAsia="Times New Roman" w:hAnsi="Times New Roman" w:cs="Times New Roman"/>
      <w:sz w:val="24"/>
      <w:szCs w:val="24"/>
      <w:lang w:eastAsia="zh-CN"/>
    </w:rPr>
  </w:style>
  <w:style w:type="paragraph" w:styleId="Ttulo2">
    <w:name w:val="heading 2"/>
    <w:basedOn w:val="Normal"/>
    <w:next w:val="Normal"/>
    <w:link w:val="Ttulo2Car"/>
    <w:qFormat/>
    <w:rsid w:val="00FB3F55"/>
    <w:pPr>
      <w:keepNext/>
      <w:numPr>
        <w:ilvl w:val="1"/>
        <w:numId w:val="2"/>
      </w:numPr>
      <w:jc w:val="center"/>
      <w:outlineLvl w:val="1"/>
    </w:pPr>
    <w:rPr>
      <w:rFonts w:ascii="Arial" w:hAnsi="Arial" w:cs="Arial"/>
      <w:b/>
      <w:sz w:val="20"/>
    </w:rPr>
  </w:style>
  <w:style w:type="paragraph" w:styleId="Ttulo3">
    <w:name w:val="heading 3"/>
    <w:basedOn w:val="Normal"/>
    <w:next w:val="Normal"/>
    <w:link w:val="Ttulo3Car"/>
    <w:qFormat/>
    <w:rsid w:val="00FB3F55"/>
    <w:pPr>
      <w:keepNext/>
      <w:numPr>
        <w:ilvl w:val="2"/>
        <w:numId w:val="2"/>
      </w:numPr>
      <w:jc w:val="center"/>
      <w:outlineLvl w:val="2"/>
    </w:pPr>
    <w:rPr>
      <w:b/>
    </w:rPr>
  </w:style>
  <w:style w:type="paragraph" w:styleId="Ttulo6">
    <w:name w:val="heading 6"/>
    <w:basedOn w:val="Normal"/>
    <w:next w:val="Normal"/>
    <w:link w:val="Ttulo6Car"/>
    <w:qFormat/>
    <w:rsid w:val="00FB3F55"/>
    <w:pPr>
      <w:keepNext/>
      <w:numPr>
        <w:ilvl w:val="5"/>
        <w:numId w:val="2"/>
      </w:numPr>
      <w:outlineLvl w:val="5"/>
    </w:pPr>
    <w:rPr>
      <w:rFonts w:ascii="Arial" w:hAnsi="Arial" w:cs="Arial"/>
      <w:b/>
      <w:sz w:val="18"/>
    </w:rPr>
  </w:style>
  <w:style w:type="paragraph" w:styleId="Ttulo7">
    <w:name w:val="heading 7"/>
    <w:basedOn w:val="Normal"/>
    <w:next w:val="Normal"/>
    <w:link w:val="Ttulo7Car"/>
    <w:qFormat/>
    <w:rsid w:val="00FB3F55"/>
    <w:pPr>
      <w:keepNext/>
      <w:numPr>
        <w:ilvl w:val="6"/>
        <w:numId w:val="2"/>
      </w:numPr>
      <w:jc w:val="right"/>
      <w:outlineLvl w:val="6"/>
    </w:pPr>
    <w:rPr>
      <w:rFonts w:ascii="Arial" w:hAnsi="Arial" w:cs="Arial"/>
      <w:b/>
      <w:sz w:val="16"/>
    </w:rPr>
  </w:style>
  <w:style w:type="paragraph" w:styleId="Ttulo8">
    <w:name w:val="heading 8"/>
    <w:basedOn w:val="Normal"/>
    <w:next w:val="Normal"/>
    <w:link w:val="Ttulo8Car"/>
    <w:qFormat/>
    <w:rsid w:val="00FB3F55"/>
    <w:pPr>
      <w:keepNext/>
      <w:numPr>
        <w:ilvl w:val="7"/>
        <w:numId w:val="2"/>
      </w:numPr>
      <w:jc w:val="center"/>
      <w:outlineLvl w:val="7"/>
    </w:pPr>
    <w:rPr>
      <w:rFonts w:ascii="Arial" w:hAnsi="Arial" w:cs="Arial"/>
      <w:b/>
      <w:sz w:val="1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FB3F55"/>
    <w:rPr>
      <w:rFonts w:ascii="Arial" w:eastAsia="Times New Roman" w:hAnsi="Arial" w:cs="Arial"/>
      <w:b/>
      <w:sz w:val="20"/>
      <w:szCs w:val="24"/>
      <w:lang w:eastAsia="zh-CN"/>
    </w:rPr>
  </w:style>
  <w:style w:type="character" w:customStyle="1" w:styleId="Ttulo3Car">
    <w:name w:val="Título 3 Car"/>
    <w:basedOn w:val="Fuentedeprrafopredeter"/>
    <w:link w:val="Ttulo3"/>
    <w:rsid w:val="00FB3F55"/>
    <w:rPr>
      <w:rFonts w:ascii="Times New Roman" w:eastAsia="Times New Roman" w:hAnsi="Times New Roman" w:cs="Times New Roman"/>
      <w:b/>
      <w:sz w:val="24"/>
      <w:szCs w:val="24"/>
      <w:lang w:eastAsia="zh-CN"/>
    </w:rPr>
  </w:style>
  <w:style w:type="character" w:customStyle="1" w:styleId="Ttulo6Car">
    <w:name w:val="Título 6 Car"/>
    <w:basedOn w:val="Fuentedeprrafopredeter"/>
    <w:link w:val="Ttulo6"/>
    <w:rsid w:val="00FB3F55"/>
    <w:rPr>
      <w:rFonts w:ascii="Arial" w:eastAsia="Times New Roman" w:hAnsi="Arial" w:cs="Arial"/>
      <w:b/>
      <w:sz w:val="18"/>
      <w:szCs w:val="24"/>
      <w:lang w:eastAsia="zh-CN"/>
    </w:rPr>
  </w:style>
  <w:style w:type="character" w:customStyle="1" w:styleId="Ttulo7Car">
    <w:name w:val="Título 7 Car"/>
    <w:basedOn w:val="Fuentedeprrafopredeter"/>
    <w:link w:val="Ttulo7"/>
    <w:rsid w:val="00FB3F55"/>
    <w:rPr>
      <w:rFonts w:ascii="Arial" w:eastAsia="Times New Roman" w:hAnsi="Arial" w:cs="Arial"/>
      <w:b/>
      <w:sz w:val="16"/>
      <w:szCs w:val="24"/>
      <w:lang w:eastAsia="zh-CN"/>
    </w:rPr>
  </w:style>
  <w:style w:type="character" w:customStyle="1" w:styleId="Ttulo8Car">
    <w:name w:val="Título 8 Car"/>
    <w:basedOn w:val="Fuentedeprrafopredeter"/>
    <w:link w:val="Ttulo8"/>
    <w:rsid w:val="00FB3F55"/>
    <w:rPr>
      <w:rFonts w:ascii="Arial" w:eastAsia="Times New Roman" w:hAnsi="Arial" w:cs="Arial"/>
      <w:b/>
      <w:sz w:val="14"/>
      <w:szCs w:val="24"/>
      <w:lang w:eastAsia="zh-CN"/>
    </w:rPr>
  </w:style>
  <w:style w:type="paragraph" w:customStyle="1" w:styleId="Textoindependiente21">
    <w:name w:val="Texto independiente 21"/>
    <w:basedOn w:val="Normal"/>
    <w:rsid w:val="00FB3F55"/>
    <w:pPr>
      <w:jc w:val="both"/>
    </w:pPr>
    <w:rPr>
      <w:rFonts w:ascii="Arial" w:hAnsi="Arial" w:cs="Arial"/>
      <w:b/>
      <w:bCs/>
      <w:sz w:val="28"/>
    </w:rPr>
  </w:style>
  <w:style w:type="paragraph" w:styleId="Encabezado">
    <w:name w:val="header"/>
    <w:basedOn w:val="Normal"/>
    <w:link w:val="EncabezadoCar"/>
    <w:uiPriority w:val="99"/>
    <w:unhideWhenUsed/>
    <w:rsid w:val="000E3989"/>
    <w:pPr>
      <w:tabs>
        <w:tab w:val="center" w:pos="4252"/>
        <w:tab w:val="right" w:pos="8504"/>
      </w:tabs>
    </w:pPr>
  </w:style>
  <w:style w:type="character" w:customStyle="1" w:styleId="EncabezadoCar">
    <w:name w:val="Encabezado Car"/>
    <w:basedOn w:val="Fuentedeprrafopredeter"/>
    <w:link w:val="Encabezado"/>
    <w:uiPriority w:val="99"/>
    <w:rsid w:val="000E3989"/>
    <w:rPr>
      <w:rFonts w:ascii="Times New Roman" w:eastAsia="Times New Roman" w:hAnsi="Times New Roman" w:cs="Times New Roman"/>
      <w:sz w:val="24"/>
      <w:szCs w:val="24"/>
      <w:lang w:eastAsia="zh-CN"/>
    </w:rPr>
  </w:style>
  <w:style w:type="paragraph" w:styleId="Piedepgina">
    <w:name w:val="footer"/>
    <w:basedOn w:val="Normal"/>
    <w:link w:val="PiedepginaCar"/>
    <w:uiPriority w:val="99"/>
    <w:unhideWhenUsed/>
    <w:rsid w:val="000E3989"/>
    <w:pPr>
      <w:tabs>
        <w:tab w:val="center" w:pos="4252"/>
        <w:tab w:val="right" w:pos="8504"/>
      </w:tabs>
    </w:pPr>
  </w:style>
  <w:style w:type="character" w:customStyle="1" w:styleId="PiedepginaCar">
    <w:name w:val="Pie de página Car"/>
    <w:basedOn w:val="Fuentedeprrafopredeter"/>
    <w:link w:val="Piedepgina"/>
    <w:uiPriority w:val="99"/>
    <w:rsid w:val="000E3989"/>
    <w:rPr>
      <w:rFonts w:ascii="Times New Roman" w:eastAsia="Times New Roman" w:hAnsi="Times New Roman" w:cs="Times New Roman"/>
      <w:sz w:val="24"/>
      <w:szCs w:val="24"/>
      <w:lang w:eastAsia="zh-CN"/>
    </w:rPr>
  </w:style>
  <w:style w:type="paragraph" w:styleId="Prrafodelista">
    <w:name w:val="List Paragraph"/>
    <w:basedOn w:val="Normal"/>
    <w:uiPriority w:val="34"/>
    <w:qFormat/>
    <w:rsid w:val="00B21D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361</Words>
  <Characters>1991</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Inmaculada González Pérez</dc:creator>
  <cp:keywords/>
  <dc:description/>
  <cp:lastModifiedBy>Eduardo González González</cp:lastModifiedBy>
  <cp:revision>5</cp:revision>
  <dcterms:created xsi:type="dcterms:W3CDTF">2020-06-16T23:06:00Z</dcterms:created>
  <dcterms:modified xsi:type="dcterms:W3CDTF">2026-06-10T08:02:00Z</dcterms:modified>
</cp:coreProperties>
</file>